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重庆昌辉塑料有限公司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rFonts w:hint="eastAsia" w:eastAsia="宋体"/>
                <w:b/>
                <w:color w:val="000000"/>
                <w:sz w:val="20"/>
                <w:szCs w:val="20"/>
                <w:lang w:eastAsia="zh-CN"/>
              </w:rPr>
            </w:pPr>
            <w:bookmarkStart w:id="24" w:name="_GoBack"/>
            <w:bookmarkEnd w:id="24"/>
            <w:r>
              <w:rPr>
                <w:rFonts w:hint="eastAsia"/>
                <w:b/>
                <w:color w:val="000000"/>
                <w:sz w:val="20"/>
                <w:szCs w:val="20"/>
                <w:lang w:eastAsia="zh-CN"/>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重庆昌辉塑料有限公司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重庆市巴南区鱼洞街道金竹村6组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重庆市巴南区武新村陈家湾工业园区</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侯仁辉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17783091155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王玲玲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侯仁辉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再生塑料颗粒的加工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eastAsia="宋体" w:cs="宋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Times New Roman" w:hAnsi="Times New Roman" w:eastAsia="宋体" w:cs="Times New Roman"/>
          <w:szCs w:val="22"/>
          <w:lang w:val="en-US" w:eastAsia="zh-CN"/>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管理层、综合部、生产部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01" w:firstLineChars="100"/>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highlight w:val="none"/>
              </w:rPr>
            </w:pPr>
            <w:r>
              <w:rPr>
                <w:rFonts w:hint="eastAsia" w:ascii="宋体" w:hAnsi="宋体"/>
                <w:color w:val="000000" w:themeColor="text1"/>
                <w:sz w:val="20"/>
                <w:szCs w:val="20"/>
                <w:highlight w:val="none"/>
              </w:rPr>
              <w:t>（</w:t>
            </w:r>
            <w:r>
              <w:rPr>
                <w:rFonts w:ascii="宋体" w:hAnsi="宋体"/>
                <w:color w:val="000000" w:themeColor="text1"/>
                <w:sz w:val="20"/>
                <w:szCs w:val="20"/>
                <w:highlight w:val="none"/>
              </w:rPr>
              <w:t>4</w:t>
            </w:r>
            <w:r>
              <w:rPr>
                <w:rFonts w:hint="eastAsia" w:ascii="宋体" w:hAnsi="宋体"/>
                <w:color w:val="000000" w:themeColor="text1"/>
                <w:sz w:val="20"/>
                <w:szCs w:val="20"/>
                <w:highlight w:val="none"/>
              </w:rPr>
              <w:t>）是否进行了过程识别，</w:t>
            </w:r>
          </w:p>
        </w:tc>
        <w:tc>
          <w:tcPr>
            <w:tcW w:w="970" w:type="dxa"/>
            <w:gridSpan w:val="2"/>
          </w:tcPr>
          <w:p>
            <w:pPr>
              <w:rPr>
                <w:rFonts w:ascii="宋体"/>
                <w:color w:val="000000" w:themeColor="text1"/>
                <w:spacing w:val="-10"/>
                <w:sz w:val="20"/>
                <w:szCs w:val="20"/>
                <w:highlight w:val="none"/>
              </w:rPr>
            </w:pP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highlight w:val="none"/>
              </w:rPr>
            </w:pPr>
            <w:r>
              <w:rPr>
                <w:rFonts w:hint="eastAsia" w:ascii="宋体" w:hAnsi="宋体"/>
                <w:color w:val="000000" w:themeColor="text1"/>
                <w:sz w:val="20"/>
                <w:szCs w:val="20"/>
                <w:highlight w:val="none"/>
              </w:rPr>
              <w:t>（</w:t>
            </w:r>
            <w:r>
              <w:rPr>
                <w:rFonts w:ascii="宋体" w:hAnsi="宋体"/>
                <w:color w:val="000000" w:themeColor="text1"/>
                <w:sz w:val="20"/>
                <w:szCs w:val="20"/>
                <w:highlight w:val="none"/>
              </w:rPr>
              <w:t>5</w:t>
            </w:r>
            <w:r>
              <w:rPr>
                <w:rFonts w:hint="eastAsia" w:ascii="宋体" w:hAnsi="宋体"/>
                <w:color w:val="000000" w:themeColor="text1"/>
                <w:sz w:val="20"/>
                <w:szCs w:val="20"/>
                <w:highlight w:val="none"/>
              </w:rPr>
              <w:t>）是否有特殊过程</w:t>
            </w:r>
          </w:p>
        </w:tc>
        <w:tc>
          <w:tcPr>
            <w:tcW w:w="970" w:type="dxa"/>
            <w:gridSpan w:val="2"/>
          </w:tcPr>
          <w:p>
            <w:pPr>
              <w:rPr>
                <w:rFonts w:ascii="宋体"/>
                <w:color w:val="000000" w:themeColor="text1"/>
                <w:spacing w:val="-10"/>
                <w:sz w:val="20"/>
                <w:szCs w:val="20"/>
                <w:highlight w:val="none"/>
              </w:rPr>
            </w:pP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highlight w:val="none"/>
              </w:rPr>
            </w:pPr>
            <w:r>
              <w:rPr>
                <w:rFonts w:hint="eastAsia" w:ascii="宋体" w:hAnsi="宋体"/>
                <w:color w:val="000000" w:themeColor="text1"/>
                <w:sz w:val="20"/>
                <w:szCs w:val="20"/>
                <w:highlight w:val="none"/>
              </w:rPr>
              <w:t>（</w:t>
            </w:r>
            <w:r>
              <w:rPr>
                <w:rFonts w:ascii="宋体" w:hAnsi="宋体"/>
                <w:color w:val="000000" w:themeColor="text1"/>
                <w:sz w:val="20"/>
                <w:szCs w:val="20"/>
                <w:highlight w:val="none"/>
              </w:rPr>
              <w:t>6</w:t>
            </w:r>
            <w:r>
              <w:rPr>
                <w:rFonts w:hint="eastAsia" w:ascii="宋体" w:hAnsi="宋体"/>
                <w:color w:val="000000" w:themeColor="text1"/>
                <w:sz w:val="20"/>
                <w:szCs w:val="20"/>
                <w:highlight w:val="none"/>
              </w:rPr>
              <w:t>）是否有外包过程</w:t>
            </w:r>
          </w:p>
        </w:tc>
        <w:tc>
          <w:tcPr>
            <w:tcW w:w="970" w:type="dxa"/>
            <w:gridSpan w:val="2"/>
          </w:tcPr>
          <w:p>
            <w:pPr>
              <w:rPr>
                <w:rFonts w:ascii="宋体"/>
                <w:color w:val="000000" w:themeColor="text1"/>
                <w:spacing w:val="-10"/>
                <w:sz w:val="20"/>
                <w:szCs w:val="20"/>
                <w:highlight w:val="none"/>
              </w:rPr>
            </w:pP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color w:val="auto"/>
                <w:sz w:val="20"/>
              </w:rPr>
              <w:t>再生塑料颗粒的加工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bCs w:val="0"/>
                <w:color w:val="000000"/>
                <w:sz w:val="20"/>
                <w:szCs w:val="20"/>
              </w:rPr>
            </w:pPr>
            <w:r>
              <w:rPr>
                <w:rFonts w:hint="eastAsia" w:ascii="宋体" w:hAnsi="宋体"/>
                <w:b/>
                <w:color w:val="000000"/>
                <w:sz w:val="20"/>
                <w:szCs w:val="20"/>
              </w:rPr>
              <w:t>公司部门设置</w:t>
            </w:r>
            <w:r>
              <w:rPr>
                <w:rFonts w:hint="eastAsia" w:ascii="宋体" w:hAnsi="宋体"/>
                <w:b/>
                <w:bCs w:val="0"/>
                <w:color w:val="000000"/>
                <w:sz w:val="20"/>
                <w:szCs w:val="20"/>
              </w:rPr>
              <w:t>：</w:t>
            </w:r>
            <w:r>
              <w:rPr>
                <w:rFonts w:hint="eastAsia" w:ascii="Times New Roman" w:hAnsi="Times New Roman" w:eastAsia="宋体" w:cs="Times New Roman"/>
                <w:b/>
                <w:bCs w:val="0"/>
                <w:szCs w:val="22"/>
                <w:lang w:val="en-US" w:eastAsia="zh-CN"/>
              </w:rPr>
              <w:t>管理层、</w:t>
            </w:r>
            <w:r>
              <w:rPr>
                <w:rFonts w:hint="eastAsia" w:ascii="宋体" w:hAnsi="宋体"/>
                <w:b/>
                <w:bCs w:val="0"/>
                <w:color w:val="000000"/>
                <w:sz w:val="20"/>
                <w:szCs w:val="20"/>
                <w:lang w:val="en-US" w:eastAsia="zh-CN"/>
              </w:rPr>
              <w:t>综合部</w:t>
            </w:r>
            <w:r>
              <w:rPr>
                <w:rFonts w:hint="eastAsia" w:ascii="Times New Roman" w:hAnsi="Times New Roman" w:eastAsia="宋体" w:cs="Times New Roman"/>
                <w:b/>
                <w:bCs w:val="0"/>
                <w:szCs w:val="22"/>
                <w:lang w:val="en-US" w:eastAsia="zh-CN"/>
              </w:rPr>
              <w:t>、生产部</w:t>
            </w:r>
          </w:p>
          <w:p>
            <w:pPr>
              <w:tabs>
                <w:tab w:val="left" w:pos="360"/>
              </w:tabs>
              <w:spacing w:before="156" w:beforeLines="50"/>
              <w:ind w:left="357" w:hanging="357"/>
              <w:rPr>
                <w:rFonts w:hint="default" w:ascii="宋体" w:eastAsia="宋体"/>
                <w:b/>
                <w:bCs w:val="0"/>
                <w:color w:val="000000"/>
                <w:sz w:val="20"/>
                <w:szCs w:val="20"/>
                <w:lang w:val="en-US" w:eastAsia="zh-CN"/>
              </w:rPr>
            </w:pPr>
            <w:r>
              <w:rPr>
                <w:rFonts w:hint="eastAsia" w:ascii="宋体" w:hAnsi="宋体"/>
                <w:b/>
                <w:bCs w:val="0"/>
                <w:color w:val="000000"/>
                <w:sz w:val="20"/>
                <w:szCs w:val="20"/>
              </w:rPr>
              <w:t>管理体系推进部门：</w:t>
            </w:r>
            <w:r>
              <w:rPr>
                <w:rFonts w:hint="eastAsia" w:ascii="宋体" w:hAnsi="宋体"/>
                <w:b/>
                <w:bCs w:val="0"/>
                <w:color w:val="000000"/>
                <w:sz w:val="20"/>
                <w:szCs w:val="20"/>
                <w:lang w:val="en-US" w:eastAsia="zh-CN"/>
              </w:rPr>
              <w:t>综合部</w:t>
            </w:r>
          </w:p>
          <w:p>
            <w:pPr>
              <w:tabs>
                <w:tab w:val="left" w:pos="360"/>
              </w:tabs>
              <w:spacing w:before="156" w:beforeLines="50"/>
              <w:ind w:left="357" w:hanging="357"/>
              <w:rPr>
                <w:rFonts w:ascii="宋体"/>
                <w:b/>
                <w:bCs w:val="0"/>
                <w:color w:val="000000"/>
                <w:sz w:val="20"/>
                <w:szCs w:val="20"/>
              </w:rPr>
            </w:pPr>
            <w:r>
              <w:rPr>
                <w:rFonts w:hint="eastAsia" w:ascii="宋体" w:hAnsi="宋体"/>
                <w:b/>
                <w:bCs w:val="0"/>
                <w:color w:val="000000"/>
                <w:sz w:val="20"/>
                <w:szCs w:val="20"/>
              </w:rPr>
              <w:t>质量管理部门：</w:t>
            </w:r>
            <w:r>
              <w:rPr>
                <w:rFonts w:hint="eastAsia" w:ascii="Times New Roman" w:hAnsi="Times New Roman" w:eastAsia="宋体" w:cs="Times New Roman"/>
                <w:b/>
                <w:bCs w:val="0"/>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themeColor="text1"/>
                <w:sz w:val="20"/>
                <w:szCs w:val="20"/>
              </w:rPr>
            </w:pPr>
            <w:r>
              <w:rPr>
                <w:rFonts w:hint="eastAsia" w:ascii="宋体" w:hAnsi="宋体"/>
                <w:color w:val="000000" w:themeColor="text1"/>
                <w:sz w:val="20"/>
                <w:szCs w:val="20"/>
              </w:rPr>
              <w:t>活动和过程所在地理位置对环境</w:t>
            </w:r>
            <w:r>
              <w:rPr>
                <w:rFonts w:ascii="宋体" w:hAnsi="宋体"/>
                <w:color w:val="000000" w:themeColor="text1"/>
                <w:sz w:val="20"/>
                <w:szCs w:val="20"/>
              </w:rPr>
              <w:t>/</w:t>
            </w:r>
            <w:r>
              <w:rPr>
                <w:rFonts w:hint="eastAsia" w:ascii="宋体" w:hAnsi="宋体"/>
                <w:color w:val="000000" w:themeColor="text1"/>
                <w:sz w:val="20"/>
                <w:szCs w:val="20"/>
              </w:rPr>
              <w:t>安全的特殊要求</w:t>
            </w:r>
          </w:p>
        </w:tc>
        <w:tc>
          <w:tcPr>
            <w:tcW w:w="7371" w:type="dxa"/>
            <w:gridSpan w:val="2"/>
          </w:tcPr>
          <w:p>
            <w:pPr>
              <w:tabs>
                <w:tab w:val="left" w:pos="360"/>
              </w:tabs>
              <w:ind w:left="360" w:hanging="360"/>
              <w:rPr>
                <w:rFonts w:hint="eastAsia" w:ascii="宋体" w:eastAsia="宋体"/>
                <w:color w:val="000000" w:themeColor="text1"/>
                <w:sz w:val="20"/>
                <w:szCs w:val="20"/>
                <w:lang w:val="en-US" w:eastAsia="zh-CN"/>
              </w:rPr>
            </w:pP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themeColor="text1"/>
                <w:sz w:val="20"/>
                <w:szCs w:val="20"/>
              </w:rPr>
            </w:pPr>
            <w:r>
              <w:rPr>
                <w:rFonts w:hint="eastAsia" w:ascii="宋体" w:hAnsi="宋体"/>
                <w:b/>
                <w:color w:val="000000" w:themeColor="text1"/>
                <w:sz w:val="20"/>
                <w:szCs w:val="20"/>
              </w:rPr>
              <w:t>概述受审核方现场具体情况：</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受审核方位于：</w:t>
            </w:r>
            <w:bookmarkStart w:id="23" w:name="生产地址"/>
            <w:r>
              <w:rPr>
                <w:color w:val="000000" w:themeColor="text1"/>
              </w:rPr>
              <w:t>重庆市巴南区武新村陈家湾工业园区</w:t>
            </w:r>
            <w:bookmarkEnd w:id="23"/>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其使用的建筑设施是：</w:t>
            </w:r>
            <w:r>
              <w:rPr>
                <w:rFonts w:hint="eastAsia" w:ascii="宋体" w:hAnsi="宋体"/>
                <w:color w:val="000000" w:themeColor="text1"/>
                <w:spacing w:val="-10"/>
                <w:sz w:val="20"/>
                <w:szCs w:val="20"/>
              </w:rPr>
              <w:t>□</w:t>
            </w:r>
            <w:r>
              <w:rPr>
                <w:rFonts w:hint="eastAsia" w:ascii="宋体" w:hAnsi="宋体"/>
                <w:color w:val="000000" w:themeColor="text1"/>
                <w:sz w:val="20"/>
                <w:szCs w:val="20"/>
              </w:rPr>
              <w:t>自建办公用房</w:t>
            </w:r>
            <w:r>
              <w:rPr>
                <w:rFonts w:hint="eastAsia" w:ascii="宋体" w:hAnsi="宋体"/>
                <w:color w:val="000000" w:themeColor="text1"/>
                <w:spacing w:val="-10"/>
                <w:sz w:val="20"/>
                <w:szCs w:val="20"/>
              </w:rPr>
              <w:t>□</w:t>
            </w:r>
            <w:r>
              <w:rPr>
                <w:rFonts w:hint="eastAsia" w:ascii="宋体" w:hAnsi="宋体"/>
                <w:color w:val="000000" w:themeColor="text1"/>
                <w:sz w:val="20"/>
                <w:szCs w:val="20"/>
              </w:rPr>
              <w:t>自建厂房</w:t>
            </w:r>
            <w:r>
              <w:rPr>
                <w:rFonts w:hint="eastAsia" w:ascii="宋体" w:hAnsi="宋体"/>
                <w:color w:val="000000" w:themeColor="text1"/>
                <w:spacing w:val="-10"/>
                <w:sz w:val="20"/>
                <w:szCs w:val="20"/>
              </w:rPr>
              <w:t>□租用办公用房</w:t>
            </w:r>
            <w:r>
              <w:rPr>
                <w:rFonts w:hint="eastAsia" w:ascii="宋体" w:hAnsi="宋体"/>
                <w:color w:val="000000" w:themeColor="text1"/>
                <w:spacing w:val="-10"/>
                <w:sz w:val="20"/>
                <w:szCs w:val="20"/>
              </w:rPr>
              <w:sym w:font="Wingdings 2" w:char="0052"/>
            </w:r>
            <w:r>
              <w:rPr>
                <w:rFonts w:hint="eastAsia" w:ascii="宋体" w:hAnsi="宋体"/>
                <w:color w:val="000000" w:themeColor="text1"/>
                <w:spacing w:val="-10"/>
                <w:sz w:val="20"/>
                <w:szCs w:val="20"/>
              </w:rPr>
              <w:t>租用厂房</w:t>
            </w:r>
          </w:p>
          <w:p>
            <w:pPr>
              <w:tabs>
                <w:tab w:val="left" w:pos="360"/>
              </w:tabs>
              <w:ind w:left="357" w:hanging="357"/>
              <w:rPr>
                <w:rFonts w:ascii="宋体"/>
                <w:color w:val="000000" w:themeColor="text1"/>
                <w:sz w:val="20"/>
                <w:szCs w:val="20"/>
              </w:rPr>
            </w:pPr>
            <w:r>
              <w:rPr>
                <w:rFonts w:hint="eastAsia" w:ascii="宋体" w:hAnsi="宋体"/>
                <w:color w:val="000000" w:themeColor="text1"/>
                <w:sz w:val="20"/>
                <w:szCs w:val="20"/>
              </w:rPr>
              <w:t>受审核方现场是否属于高风险地区</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tabs>
                <w:tab w:val="left" w:pos="360"/>
              </w:tabs>
              <w:ind w:left="357" w:hanging="357"/>
              <w:rPr>
                <w:rFonts w:ascii="宋体"/>
                <w:b/>
                <w:color w:val="000000" w:themeColor="text1"/>
                <w:sz w:val="20"/>
                <w:szCs w:val="20"/>
              </w:rPr>
            </w:pPr>
            <w:r>
              <w:rPr>
                <w:rFonts w:hint="eastAsia" w:ascii="宋体" w:hAnsi="宋体"/>
                <w:color w:val="000000" w:themeColor="text1"/>
                <w:sz w:val="20"/>
                <w:szCs w:val="20"/>
              </w:rPr>
              <w:t>受审核方现场周边是否具有危险性场所，如化工厂、加油站等</w:t>
            </w:r>
            <w:r>
              <w:rPr>
                <w:rFonts w:hint="eastAsia" w:ascii="宋体" w:hAnsi="宋体"/>
                <w:color w:val="000000" w:themeColor="text1"/>
                <w:spacing w:val="-10"/>
                <w:sz w:val="20"/>
                <w:szCs w:val="20"/>
              </w:rPr>
              <w:t>□</w:t>
            </w:r>
            <w:r>
              <w:rPr>
                <w:rFonts w:hint="eastAsia" w:ascii="宋体" w:hAnsi="宋体"/>
                <w:color w:val="000000" w:themeColor="text1"/>
                <w:sz w:val="20"/>
                <w:szCs w:val="20"/>
              </w:rPr>
              <w:t>有</w:t>
            </w:r>
            <w:r>
              <w:rPr>
                <w:rFonts w:hint="eastAsia" w:ascii="宋体" w:hAnsi="宋体"/>
                <w:color w:val="000000" w:themeColor="text1"/>
                <w:sz w:val="20"/>
                <w:szCs w:val="20"/>
                <w:lang w:eastAsia="zh-CN"/>
              </w:rPr>
              <w:t>■</w:t>
            </w:r>
            <w:r>
              <w:rPr>
                <w:rFonts w:hint="eastAsia" w:ascii="宋体" w:hAnsi="宋体"/>
                <w:color w:val="000000" w:themeColor="text1"/>
                <w:sz w:val="20"/>
                <w:szCs w:val="20"/>
              </w:rPr>
              <w:t>无</w:t>
            </w:r>
          </w:p>
          <w:p>
            <w:pPr>
              <w:tabs>
                <w:tab w:val="left" w:pos="360"/>
              </w:tabs>
              <w:ind w:left="357" w:hanging="357"/>
              <w:rPr>
                <w:rFonts w:ascii="宋体"/>
                <w:b/>
                <w:color w:val="000000" w:themeColor="text1"/>
                <w:sz w:val="20"/>
                <w:szCs w:val="20"/>
              </w:rPr>
            </w:pPr>
            <w:r>
              <w:rPr>
                <w:rFonts w:hint="eastAsia" w:ascii="宋体" w:hAnsi="宋体"/>
                <w:b/>
                <w:color w:val="000000" w:themeColor="text1"/>
                <w:sz w:val="20"/>
                <w:szCs w:val="20"/>
              </w:rPr>
              <w:t>如有，请描述具体现场：</w:t>
            </w:r>
          </w:p>
          <w:p>
            <w:pPr>
              <w:tabs>
                <w:tab w:val="left" w:pos="360"/>
              </w:tabs>
              <w:ind w:left="357" w:hanging="357"/>
              <w:rPr>
                <w:rFonts w:ascii="宋体"/>
                <w:b/>
                <w:color w:val="000000" w:themeColor="text1"/>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widowControl/>
              <w:spacing w:line="400" w:lineRule="exact"/>
              <w:rPr>
                <w:rFonts w:ascii="宋体" w:hAnsi="Times New Roman" w:eastAsia="宋体" w:cs="Times New Roman"/>
                <w:color w:val="000000" w:themeColor="text1"/>
                <w:spacing w:val="-10"/>
                <w:kern w:val="2"/>
                <w:sz w:val="20"/>
                <w:szCs w:val="20"/>
                <w:lang w:val="en-US" w:eastAsia="zh-CN" w:bidi="ar-SA"/>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产品技术标准</w:t>
            </w:r>
            <w:r>
              <w:rPr>
                <w:rFonts w:hint="eastAsia" w:ascii="宋体" w:hAnsi="宋体"/>
                <w:color w:val="000000" w:themeColor="text1"/>
                <w:spacing w:val="-10"/>
                <w:sz w:val="20"/>
                <w:szCs w:val="20"/>
                <w:highlight w:val="none"/>
              </w:rPr>
              <w:t>号：</w:t>
            </w:r>
            <w:r>
              <w:rPr>
                <w:rFonts w:hint="eastAsia" w:ascii="宋体" w:hAnsi="宋体"/>
                <w:color w:val="000000" w:themeColor="text1"/>
                <w:sz w:val="21"/>
                <w:szCs w:val="21"/>
                <w:highlight w:val="none"/>
              </w:rPr>
              <w:t>GB/T 24149.2-2017塑料 汽车用聚丙烯（PP）专用料 第2部分：仪表板</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GB/T 24149.3-2017塑料 汽车用聚丙烯（PP）专用料 第3部分：门内板</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GB/T 35265-2017聚丙烯（PP）塑料回收料的表征特性及检测方法</w:t>
            </w:r>
            <w:r>
              <w:rPr>
                <w:rFonts w:hint="eastAsia" w:ascii="宋体" w:hAnsi="宋体"/>
                <w:color w:val="000000" w:themeColor="text1"/>
                <w:sz w:val="21"/>
                <w:szCs w:val="21"/>
                <w:highlight w:val="none"/>
                <w:lang w:val="en-US" w:eastAsia="zh-CN"/>
              </w:rPr>
              <w:t>以及客户合同要求</w:t>
            </w:r>
            <w:r>
              <w:rPr>
                <w:rFonts w:hint="eastAsia" w:ascii="宋体" w:hAnsi="宋体"/>
                <w:color w:val="000000" w:themeColor="text1"/>
                <w:sz w:val="21"/>
                <w:szCs w:val="21"/>
                <w:highlight w:val="none"/>
              </w:rPr>
              <w:t>。</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pacing w:val="-10"/>
                <w:sz w:val="20"/>
                <w:szCs w:val="20"/>
                <w:highlight w:val="none"/>
              </w:rPr>
              <w:t>合同</w:t>
            </w:r>
            <w:r>
              <w:rPr>
                <w:rFonts w:hint="eastAsia" w:ascii="宋体" w:hAnsi="宋体"/>
                <w:color w:val="000000" w:themeColor="text1"/>
                <w:spacing w:val="-1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hint="eastAsia" w:ascii="宋体" w:hAnsi="Times New Roman" w:eastAsia="宋体" w:cs="Times New Roman"/>
                <w:color w:val="000000" w:themeColor="text1"/>
                <w:kern w:val="2"/>
                <w:sz w:val="20"/>
                <w:szCs w:val="20"/>
                <w:highlight w:val="none"/>
                <w:lang w:val="en-US" w:eastAsia="zh-CN" w:bidi="ar-SA"/>
              </w:rPr>
            </w:pPr>
            <w:r>
              <w:rPr>
                <w:rFonts w:hint="eastAsia" w:ascii="宋体"/>
                <w:color w:val="000000" w:themeColor="text1"/>
                <w:sz w:val="20"/>
                <w:szCs w:val="20"/>
                <w:highlight w:val="none"/>
              </w:rPr>
              <w:t>现场是否有产品检验报告□是</w:t>
            </w:r>
            <w:r>
              <w:rPr>
                <w:rFonts w:hint="eastAsia" w:ascii="宋体" w:hAnsi="宋体" w:eastAsia="宋体" w:cs="宋体"/>
                <w:color w:val="000000" w:themeColor="text1"/>
                <w:sz w:val="20"/>
                <w:szCs w:val="20"/>
                <w:highlight w:val="none"/>
              </w:rPr>
              <w:t>■</w:t>
            </w:r>
            <w:r>
              <w:rPr>
                <w:rFonts w:hint="eastAsia" w:asci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hint="eastAsia" w:ascii="宋体" w:hAnsi="Times New Roman" w:eastAsia="宋体" w:cs="Times New Roman"/>
                <w:color w:val="000000" w:themeColor="text1"/>
                <w:kern w:val="2"/>
                <w:sz w:val="20"/>
                <w:szCs w:val="20"/>
                <w:highlight w:val="none"/>
                <w:lang w:val="en-US" w:eastAsia="zh-CN" w:bidi="ar-SA"/>
              </w:rPr>
            </w:pPr>
            <w:r>
              <w:rPr>
                <w:rFonts w:hint="eastAsia" w:ascii="宋体"/>
                <w:color w:val="000000" w:themeColor="text1"/>
                <w:sz w:val="20"/>
                <w:szCs w:val="20"/>
                <w:highlight w:val="none"/>
              </w:rPr>
              <w:t>是否需要型式试验□是</w:t>
            </w:r>
            <w:r>
              <w:rPr>
                <w:rFonts w:hint="eastAsia" w:ascii="宋体"/>
                <w:color w:val="000000" w:themeColor="text1"/>
                <w:sz w:val="20"/>
                <w:szCs w:val="20"/>
                <w:highlight w:val="none"/>
                <w:lang w:eastAsia="zh-CN"/>
              </w:rPr>
              <w:t>■</w:t>
            </w:r>
            <w:r>
              <w:rPr>
                <w:rFonts w:hint="eastAsia" w:ascii="宋体"/>
                <w:color w:val="000000" w:themeColor="text1"/>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color w:val="000000" w:themeColor="text1"/>
                <w:sz w:val="20"/>
                <w:szCs w:val="20"/>
              </w:rPr>
            </w:pPr>
            <w:r>
              <w:rPr>
                <w:rFonts w:hint="eastAsia" w:ascii="宋体"/>
                <w:color w:val="000000" w:themeColor="text1"/>
                <w:sz w:val="20"/>
                <w:szCs w:val="20"/>
              </w:rPr>
              <w:t>是否接受了行政主管部门的抽查□是</w:t>
            </w:r>
            <w:r>
              <w:rPr>
                <w:rFonts w:hint="eastAsia" w:ascii="宋体"/>
                <w:color w:val="000000" w:themeColor="text1"/>
                <w:sz w:val="20"/>
                <w:szCs w:val="20"/>
                <w:lang w:eastAsia="zh-CN"/>
              </w:rPr>
              <w:t>■</w:t>
            </w:r>
            <w:r>
              <w:rPr>
                <w:rFonts w:hint="eastAsia" w:ascii="宋体"/>
                <w:color w:val="000000" w:themeColor="text1"/>
                <w:sz w:val="20"/>
                <w:szCs w:val="20"/>
              </w:rPr>
              <w:t>否，抽查结果□合格□不合格</w:t>
            </w:r>
          </w:p>
          <w:p>
            <w:pPr>
              <w:rPr>
                <w:rFonts w:hint="eastAsia" w:ascii="宋体"/>
                <w:color w:val="000000" w:themeColor="text1"/>
                <w:sz w:val="20"/>
                <w:szCs w:val="20"/>
              </w:rPr>
            </w:pPr>
            <w:r>
              <w:rPr>
                <w:rFonts w:hint="eastAsia" w:ascii="宋体"/>
                <w:color w:val="000000" w:themeColor="text1"/>
                <w:sz w:val="20"/>
                <w:szCs w:val="20"/>
              </w:rPr>
              <w:t>是否列入当地政府黑名单□是</w:t>
            </w:r>
            <w:r>
              <w:rPr>
                <w:rFonts w:hint="eastAsia" w:ascii="宋体"/>
                <w:color w:val="000000" w:themeColor="text1"/>
                <w:sz w:val="20"/>
                <w:szCs w:val="20"/>
                <w:lang w:eastAsia="zh-CN"/>
              </w:rPr>
              <w:t>■</w:t>
            </w:r>
            <w:r>
              <w:rPr>
                <w:rFonts w:hint="eastAsia" w:ascii="宋体"/>
                <w:color w:val="000000" w:themeColor="text1"/>
                <w:sz w:val="20"/>
                <w:szCs w:val="20"/>
              </w:rPr>
              <w:t>否</w:t>
            </w:r>
          </w:p>
          <w:p>
            <w:pPr>
              <w:rPr>
                <w:rFonts w:hint="eastAsia"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是否有重大顾客投诉□是</w:t>
            </w:r>
            <w:r>
              <w:rPr>
                <w:rFonts w:hint="eastAsia" w:ascii="宋体"/>
                <w:color w:val="000000" w:themeColor="text1"/>
                <w:sz w:val="20"/>
                <w:szCs w:val="20"/>
                <w:lang w:eastAsia="zh-CN"/>
              </w:rPr>
              <w:t>■</w:t>
            </w:r>
            <w:r>
              <w:rPr>
                <w:rFonts w:hint="eastAsia" w:asci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1"/>
                <w:szCs w:val="21"/>
              </w:rPr>
            </w:pPr>
            <w:r>
              <w:rPr>
                <w:rFonts w:hint="eastAsia"/>
                <w:sz w:val="21"/>
                <w:szCs w:val="21"/>
              </w:rPr>
              <w:t>生产流程图：</w:t>
            </w:r>
          </w:p>
          <w:p>
            <w:pPr>
              <w:rPr>
                <w:rFonts w:ascii="宋体"/>
                <w:color w:val="000000"/>
                <w:sz w:val="20"/>
                <w:szCs w:val="20"/>
              </w:rPr>
            </w:pPr>
            <w:r>
              <w:rPr>
                <w:rFonts w:hint="eastAsia"/>
                <w:sz w:val="21"/>
                <w:szCs w:val="21"/>
                <w:highlight w:val="none"/>
              </w:rPr>
              <w:t>原材料（废旧</w:t>
            </w:r>
            <w:r>
              <w:rPr>
                <w:rFonts w:hint="eastAsia"/>
                <w:color w:val="auto"/>
                <w:sz w:val="21"/>
                <w:szCs w:val="21"/>
                <w:highlight w:val="none"/>
                <w:lang w:val="en-US" w:eastAsia="zh-CN"/>
              </w:rPr>
              <w:t>聚丙烯</w:t>
            </w:r>
            <w:r>
              <w:rPr>
                <w:rFonts w:hint="eastAsia"/>
                <w:sz w:val="21"/>
                <w:szCs w:val="21"/>
                <w:highlight w:val="none"/>
              </w:rPr>
              <w:t>）—分选—</w:t>
            </w:r>
            <w:r>
              <w:rPr>
                <w:rFonts w:hint="eastAsia"/>
                <w:sz w:val="21"/>
                <w:szCs w:val="21"/>
                <w:highlight w:val="none"/>
                <w:lang w:val="en-US" w:eastAsia="zh-CN"/>
              </w:rPr>
              <w:t>搅拌</w:t>
            </w:r>
            <w:r>
              <w:rPr>
                <w:rFonts w:hint="eastAsia"/>
                <w:sz w:val="21"/>
                <w:szCs w:val="21"/>
                <w:highlight w:val="none"/>
              </w:rPr>
              <w:t>—熔融挤塑—切粒—</w:t>
            </w:r>
            <w:r>
              <w:rPr>
                <w:rFonts w:hint="eastAsia"/>
                <w:sz w:val="21"/>
                <w:szCs w:val="21"/>
                <w:highlight w:val="none"/>
                <w:lang w:val="en-US" w:eastAsia="zh-CN"/>
              </w:rPr>
              <w:t>打包</w:t>
            </w:r>
            <w:r>
              <w:rPr>
                <w:rFonts w:hint="eastAsia"/>
                <w:sz w:val="21"/>
                <w:szCs w:val="21"/>
                <w:highlight w:val="none"/>
              </w:rPr>
              <w:t>—</w:t>
            </w:r>
            <w:r>
              <w:rPr>
                <w:rFonts w:hint="eastAsia"/>
                <w:sz w:val="21"/>
                <w:szCs w:val="21"/>
                <w:highlight w:val="none"/>
                <w:lang w:val="en-US" w:eastAsia="zh-CN"/>
              </w:rPr>
              <w:t>入库</w:t>
            </w:r>
            <w:r>
              <w:rPr>
                <w:rFonts w:hint="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关键过程有：熔融挤塑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eastAsia" w:ascii="宋体" w:hAnsi="宋体"/>
                <w:color w:val="000000"/>
                <w:sz w:val="20"/>
                <w:szCs w:val="20"/>
                <w:lang w:val="en-US" w:eastAsia="zh-CN"/>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eastAsia" w:ascii="宋体" w:hAnsi="宋体"/>
                <w:color w:val="000000"/>
                <w:sz w:val="20"/>
                <w:szCs w:val="20"/>
                <w:lang w:val="en-US" w:eastAsia="zh-CN"/>
              </w:rPr>
            </w:pPr>
            <w:r>
              <w:rPr>
                <w:rFonts w:hint="eastAsia" w:ascii="宋体" w:hAnsi="宋体"/>
                <w:color w:val="000000"/>
                <w:sz w:val="20"/>
                <w:szCs w:val="20"/>
              </w:rPr>
              <w:t>需要确认过程：熔融挤塑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highlight w:val="none"/>
                <w:lang w:val="en-US" w:eastAsia="zh-CN" w:bidi="ar-SA"/>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hAnsi="Times New Roman" w:eastAsia="宋体" w:cs="Times New Roman"/>
                <w:color w:val="000000"/>
                <w:spacing w:val="-10"/>
                <w:kern w:val="2"/>
                <w:sz w:val="20"/>
                <w:szCs w:val="20"/>
                <w:highlight w:val="none"/>
                <w:lang w:val="en-US" w:eastAsia="zh-CN" w:bidi="ar-SA"/>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themeColor="text1"/>
                <w:spacing w:val="-10"/>
                <w:kern w:val="2"/>
                <w:sz w:val="20"/>
                <w:szCs w:val="20"/>
                <w:lang w:val="en-US" w:eastAsia="zh-CN" w:bidi="ar-SA"/>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eastAsia" w:ascii="宋体" w:hAnsi="Times New Roman" w:eastAsia="宋体" w:cs="Times New Roman"/>
                <w:color w:val="000000" w:themeColor="text1"/>
                <w:spacing w:val="-10"/>
                <w:kern w:val="2"/>
                <w:sz w:val="20"/>
                <w:szCs w:val="20"/>
                <w:highlight w:val="none"/>
                <w:lang w:val="en-US" w:eastAsia="zh-CN" w:bidi="ar-SA"/>
              </w:rPr>
            </w:pPr>
            <w:r>
              <w:rPr>
                <w:rFonts w:hint="eastAsia" w:ascii="宋体"/>
                <w:color w:val="000000" w:themeColor="text1"/>
                <w:sz w:val="20"/>
                <w:szCs w:val="20"/>
                <w:highlight w:val="none"/>
              </w:rPr>
              <w:t>主要设备：</w:t>
            </w:r>
            <w:r>
              <w:rPr>
                <w:rFonts w:hint="eastAsia"/>
                <w:color w:val="000000" w:themeColor="text1"/>
                <w:sz w:val="21"/>
                <w:szCs w:val="21"/>
                <w:highlight w:val="none"/>
                <w:lang w:val="en-US" w:eastAsia="zh-CN"/>
              </w:rPr>
              <w:t>造粒主机、造粒副机、切粒机 、原料搅拌罐、振动筛等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hint="eastAsia" w:ascii="宋体" w:hAnsi="Times New Roman" w:eastAsia="宋体" w:cs="Times New Roman"/>
                <w:color w:val="000000" w:themeColor="text1"/>
                <w:kern w:val="2"/>
                <w:sz w:val="20"/>
                <w:szCs w:val="20"/>
                <w:lang w:val="en-US" w:eastAsia="zh-CN" w:bidi="ar-SA"/>
              </w:rPr>
            </w:pPr>
            <w:r>
              <w:rPr>
                <w:rFonts w:hint="eastAsia" w:ascii="宋体"/>
                <w:color w:val="000000" w:themeColor="text1"/>
                <w:sz w:val="20"/>
                <w:szCs w:val="20"/>
              </w:rPr>
              <w:t>设备是否满足要求</w:t>
            </w:r>
            <w:r>
              <w:rPr>
                <w:rFonts w:hint="eastAsia" w:ascii="宋体"/>
                <w:color w:val="000000" w:themeColor="text1"/>
                <w:sz w:val="20"/>
                <w:szCs w:val="20"/>
                <w:lang w:eastAsia="zh-CN"/>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highlight w:val="none"/>
                <w:lang w:val="en-US" w:eastAsia="zh-CN"/>
              </w:rPr>
            </w:pPr>
            <w:r>
              <w:rPr>
                <w:rFonts w:hint="eastAsia" w:ascii="宋体" w:hAnsi="宋体"/>
                <w:color w:val="000000" w:themeColor="text1"/>
                <w:sz w:val="20"/>
                <w:szCs w:val="20"/>
                <w:highlight w:val="none"/>
              </w:rPr>
              <w:t>特种设备：</w:t>
            </w:r>
            <w:r>
              <w:rPr>
                <w:rFonts w:hint="eastAsia" w:ascii="宋体" w:hAnsi="宋体"/>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电子台秤、电子天平、熔体流动速率仪等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400" w:lineRule="exact"/>
              <w:rPr>
                <w:rFonts w:ascii="宋体"/>
                <w:b/>
                <w:color w:val="000000"/>
                <w:sz w:val="20"/>
                <w:szCs w:val="20"/>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建立有《内部审核控制程序》，于</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05</w:t>
            </w:r>
            <w:r>
              <w:rPr>
                <w:rFonts w:hint="eastAsia"/>
                <w:color w:val="auto"/>
                <w:sz w:val="21"/>
                <w:szCs w:val="21"/>
                <w:highlight w:val="none"/>
                <w:lang w:eastAsia="zh-CN"/>
              </w:rPr>
              <w:t>月</w:t>
            </w:r>
            <w:r>
              <w:rPr>
                <w:rFonts w:hint="eastAsia"/>
                <w:color w:val="auto"/>
                <w:sz w:val="21"/>
                <w:szCs w:val="21"/>
                <w:highlight w:val="none"/>
                <w:lang w:val="en-US" w:eastAsia="zh-CN"/>
              </w:rPr>
              <w:t>08</w:t>
            </w:r>
            <w:r>
              <w:rPr>
                <w:rFonts w:hint="eastAsia"/>
                <w:color w:val="auto"/>
                <w:sz w:val="21"/>
                <w:szCs w:val="21"/>
                <w:highlight w:val="none"/>
                <w:lang w:eastAsia="zh-CN"/>
              </w:rPr>
              <w:t>日</w:t>
            </w:r>
            <w:r>
              <w:rPr>
                <w:rFonts w:hint="eastAsia"/>
                <w:sz w:val="21"/>
                <w:szCs w:val="21"/>
                <w:highlight w:val="none"/>
              </w:rPr>
              <w:t>进行了内部审核。内部审核组组成：审核组：</w:t>
            </w:r>
            <w:r>
              <w:rPr>
                <w:rFonts w:hint="eastAsia"/>
                <w:color w:val="auto"/>
                <w:sz w:val="21"/>
                <w:szCs w:val="21"/>
                <w:highlight w:val="none"/>
              </w:rPr>
              <w:t>组长：侯仁辉</w:t>
            </w:r>
            <w:r>
              <w:rPr>
                <w:rFonts w:hint="eastAsia"/>
                <w:color w:val="auto"/>
                <w:sz w:val="21"/>
                <w:szCs w:val="21"/>
                <w:highlight w:val="none"/>
                <w:lang w:val="en-US" w:eastAsia="zh-CN"/>
              </w:rPr>
              <w:t xml:space="preserve">    组</w:t>
            </w:r>
            <w:r>
              <w:rPr>
                <w:rFonts w:hint="eastAsia"/>
                <w:color w:val="auto"/>
                <w:sz w:val="21"/>
                <w:szCs w:val="21"/>
                <w:highlight w:val="none"/>
              </w:rPr>
              <w:t xml:space="preserve">员：彭瑞林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了解内审是否覆盖了管理体系范围内的活动及标准的要求; </w:t>
            </w:r>
          </w:p>
          <w:p>
            <w:pPr>
              <w:numPr>
                <w:ilvl w:val="0"/>
                <w:numId w:val="1"/>
              </w:numPr>
              <w:spacing w:line="3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审核范围:管理体系涉及的公司所有部门、生产车间及活动场所。</w:t>
            </w:r>
          </w:p>
          <w:p>
            <w:pPr>
              <w:numPr>
                <w:ilvl w:val="0"/>
                <w:numId w:val="1"/>
              </w:numPr>
              <w:spacing w:line="340" w:lineRule="exact"/>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了解内审结论是什么？</w:t>
            </w:r>
          </w:p>
          <w:p>
            <w:pPr>
              <w:spacing w:line="4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各部门需要对内审开出的不符合项报告认真整改，并做到举一反三，以点带面，通过纠正预防措施的执行，使管理体系正常而有效运行。</w:t>
            </w:r>
          </w:p>
          <w:p>
            <w:pPr>
              <w:spacing w:line="400" w:lineRule="exact"/>
              <w:rPr>
                <w:rFonts w:hint="eastAsia" w:ascii="宋体" w:hAnsi="宋体" w:eastAsia="宋体" w:cs="宋体"/>
                <w:b/>
                <w:color w:val="000000"/>
                <w:sz w:val="21"/>
                <w:szCs w:val="21"/>
                <w:highlight w:val="none"/>
              </w:rPr>
            </w:pPr>
            <w:r>
              <w:rPr>
                <w:rFonts w:hint="eastAsia" w:ascii="Times New Roman" w:hAnsi="Times New Roman" w:eastAsia="宋体" w:cs="Times New Roman"/>
                <w:sz w:val="21"/>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color w:val="auto"/>
                <w:kern w:val="0"/>
                <w:sz w:val="21"/>
                <w:szCs w:val="21"/>
                <w:lang w:val="en-US" w:eastAsia="zh-CN"/>
              </w:rPr>
              <w:t>2021年6月2日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7</w:t>
            </w:r>
            <w:r>
              <w:rPr>
                <w:rFonts w:hint="eastAsia" w:ascii="宋体" w:hAnsi="宋体"/>
                <w:color w:val="000000"/>
                <w:sz w:val="20"/>
                <w:szCs w:val="20"/>
                <w:highlight w:val="none"/>
              </w:rPr>
              <w:t>）是否有一体化的管理支持和管理职责。</w:t>
            </w:r>
          </w:p>
        </w:tc>
        <w:tc>
          <w:tcPr>
            <w:tcW w:w="709" w:type="dxa"/>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tcPr>
          <w:p>
            <w:pPr>
              <w:rPr>
                <w:rFonts w:ascii="宋体"/>
                <w:color w:val="000000"/>
                <w:sz w:val="20"/>
                <w:szCs w:val="20"/>
                <w:highlight w:val="none"/>
              </w:rPr>
            </w:pPr>
            <w:r>
              <w:rPr>
                <w:rFonts w:hint="eastAsia" w:ascii="宋体" w:hAnsi="宋体"/>
                <w:color w:val="000000"/>
                <w:sz w:val="20"/>
                <w:szCs w:val="20"/>
                <w:highlight w:val="none"/>
              </w:rPr>
              <w:t>□否</w:t>
            </w:r>
          </w:p>
        </w:tc>
      </w:tr>
    </w:tbl>
    <w:p>
      <w:pPr>
        <w:spacing w:before="156" w:beforeLines="50" w:line="360" w:lineRule="exact"/>
        <w:ind w:firstLine="261" w:firstLineChars="100"/>
        <w:rPr>
          <w:rFonts w:ascii="宋体"/>
          <w:b/>
          <w:color w:val="000000"/>
          <w:sz w:val="26"/>
          <w:szCs w:val="26"/>
          <w:highlight w:val="none"/>
        </w:rPr>
      </w:pPr>
      <w:r>
        <w:rPr>
          <w:rFonts w:hint="eastAsia" w:ascii="宋体" w:hAnsi="宋体"/>
          <w:b/>
          <w:color w:val="000000"/>
          <w:sz w:val="26"/>
          <w:szCs w:val="26"/>
          <w:highlight w:val="none"/>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highlight w:val="none"/>
              </w:rPr>
            </w:pPr>
            <w:r>
              <w:rPr>
                <w:rFonts w:ascii="宋体" w:hAnsi="宋体"/>
                <w:b/>
                <w:color w:val="000000"/>
                <w:sz w:val="20"/>
                <w:szCs w:val="20"/>
                <w:highlight w:val="none"/>
              </w:rPr>
              <w:t xml:space="preserve">1. </w:t>
            </w:r>
            <w:r>
              <w:rPr>
                <w:rFonts w:hint="eastAsia" w:ascii="宋体" w:hAnsi="宋体"/>
                <w:b/>
                <w:color w:val="000000"/>
                <w:sz w:val="20"/>
                <w:szCs w:val="20"/>
                <w:highlight w:val="none"/>
              </w:rPr>
              <w:t>组织是否具备二阶段审核条件</w:t>
            </w:r>
            <w:r>
              <w:rPr>
                <w:rFonts w:ascii="宋体" w:hAnsi="宋体"/>
                <w:b/>
                <w:color w:val="000000"/>
                <w:sz w:val="20"/>
                <w:szCs w:val="20"/>
                <w:highlight w:val="none"/>
              </w:rPr>
              <w:t>(</w:t>
            </w:r>
            <w:r>
              <w:rPr>
                <w:rFonts w:hint="eastAsia" w:ascii="宋体" w:hAnsi="宋体"/>
                <w:b/>
                <w:color w:val="000000"/>
                <w:spacing w:val="-10"/>
                <w:sz w:val="20"/>
                <w:szCs w:val="20"/>
                <w:highlight w:val="none"/>
                <w:lang w:val="de-DE" w:eastAsia="zh-CN"/>
              </w:rPr>
              <w:t>■</w:t>
            </w:r>
            <w:r>
              <w:rPr>
                <w:rFonts w:ascii="宋体" w:hAnsi="宋体"/>
                <w:b/>
                <w:color w:val="000000"/>
                <w:sz w:val="20"/>
                <w:szCs w:val="20"/>
                <w:highlight w:val="none"/>
              </w:rPr>
              <w:t>QMS /</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EMS/</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OHSMS)</w:t>
            </w:r>
          </w:p>
          <w:p>
            <w:pPr>
              <w:spacing w:line="280" w:lineRule="exact"/>
              <w:rPr>
                <w:rFonts w:ascii="宋体"/>
                <w:b/>
                <w:color w:val="000000"/>
                <w:sz w:val="20"/>
                <w:szCs w:val="20"/>
                <w:highlight w:val="none"/>
              </w:rPr>
            </w:pPr>
            <w:r>
              <w:rPr>
                <w:rFonts w:hint="eastAsia" w:ascii="宋体" w:hAnsi="宋体"/>
                <w:b/>
                <w:color w:val="000000"/>
                <w:spacing w:val="-10"/>
                <w:sz w:val="20"/>
                <w:szCs w:val="20"/>
                <w:highlight w:val="none"/>
                <w:lang w:eastAsia="zh-CN"/>
              </w:rPr>
              <w:t>■</w:t>
            </w:r>
            <w:r>
              <w:rPr>
                <w:rFonts w:hint="eastAsia" w:ascii="宋体" w:hAnsi="宋体"/>
                <w:b/>
                <w:color w:val="000000"/>
                <w:sz w:val="20"/>
                <w:szCs w:val="20"/>
                <w:highlight w:val="none"/>
              </w:rPr>
              <w:t>具备</w:t>
            </w:r>
          </w:p>
          <w:p>
            <w:pPr>
              <w:tabs>
                <w:tab w:val="left" w:pos="5770"/>
              </w:tabs>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二阶段审核现场验证</w:t>
            </w:r>
            <w:r>
              <w:rPr>
                <w:rFonts w:ascii="宋体"/>
                <w:b/>
                <w:color w:val="000000"/>
                <w:sz w:val="20"/>
                <w:szCs w:val="20"/>
                <w:highlight w:val="none"/>
              </w:rPr>
              <w:tab/>
            </w:r>
          </w:p>
          <w:p>
            <w:pPr>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二阶段审核前需完成“问题清单”的整改</w:t>
            </w:r>
            <w:r>
              <w:rPr>
                <w:rFonts w:ascii="宋体" w:hAnsi="宋体"/>
                <w:b/>
                <w:color w:val="000000"/>
                <w:sz w:val="20"/>
                <w:szCs w:val="20"/>
                <w:highlight w:val="none"/>
              </w:rPr>
              <w:t>(</w:t>
            </w:r>
            <w:r>
              <w:rPr>
                <w:rFonts w:hint="eastAsia" w:ascii="宋体" w:hAnsi="宋体"/>
                <w:b/>
                <w:color w:val="000000"/>
                <w:sz w:val="20"/>
                <w:szCs w:val="20"/>
                <w:highlight w:val="none"/>
              </w:rPr>
              <w:t>附件二</w:t>
            </w:r>
            <w:r>
              <w:rPr>
                <w:rFonts w:ascii="宋体" w:hAnsi="宋体"/>
                <w:b/>
                <w:color w:val="000000"/>
                <w:sz w:val="20"/>
                <w:szCs w:val="20"/>
                <w:highlight w:val="none"/>
              </w:rPr>
              <w:t xml:space="preserve">)   </w:t>
            </w:r>
          </w:p>
          <w:p>
            <w:pPr>
              <w:spacing w:line="280" w:lineRule="exact"/>
              <w:rPr>
                <w:rFonts w:ascii="宋体"/>
                <w:b/>
                <w:color w:val="000000"/>
                <w:sz w:val="16"/>
                <w:szCs w:val="16"/>
                <w:highlight w:val="none"/>
              </w:rPr>
            </w:pPr>
            <w:r>
              <w:rPr>
                <w:rFonts w:hint="eastAsia" w:ascii="宋体" w:hAnsi="宋体"/>
                <w:b/>
                <w:color w:val="000000"/>
                <w:spacing w:val="-10"/>
                <w:sz w:val="20"/>
                <w:szCs w:val="20"/>
                <w:highlight w:val="none"/>
              </w:rPr>
              <w:t>□</w:t>
            </w:r>
            <w:r>
              <w:rPr>
                <w:rFonts w:hint="eastAsia" w:ascii="宋体" w:hAnsi="宋体"/>
                <w:b/>
                <w:color w:val="000000"/>
                <w:sz w:val="20"/>
                <w:szCs w:val="20"/>
                <w:highlight w:val="none"/>
              </w:rPr>
              <w:t>不具备</w:t>
            </w:r>
            <w:r>
              <w:rPr>
                <w:rFonts w:ascii="宋体" w:hAnsi="宋体"/>
                <w:b/>
                <w:color w:val="000000"/>
                <w:sz w:val="20"/>
                <w:szCs w:val="20"/>
                <w:highlight w:val="none"/>
              </w:rPr>
              <w:t xml:space="preserve">, </w:t>
            </w:r>
            <w:r>
              <w:rPr>
                <w:rFonts w:hint="eastAsia" w:ascii="宋体" w:hAnsi="宋体"/>
                <w:b/>
                <w:color w:val="000000"/>
                <w:sz w:val="20"/>
                <w:szCs w:val="20"/>
                <w:highlight w:val="none"/>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sz w:val="20"/>
          <w:u w:val="single"/>
        </w:rPr>
        <w:t>再生塑料颗粒的加工</w:t>
      </w:r>
      <w:r>
        <w:rPr>
          <w:rFonts w:ascii="宋体" w:hAnsi="宋体"/>
          <w:b/>
          <w:color w:val="000000"/>
          <w:sz w:val="20"/>
          <w:szCs w:val="20"/>
          <w:u w:val="single"/>
        </w:rPr>
        <w:t>_</w:t>
      </w:r>
      <w:r>
        <w:rPr>
          <w:rFonts w:ascii="宋体" w:hAnsi="宋体"/>
          <w:b/>
          <w:color w:val="000000"/>
          <w:sz w:val="20"/>
          <w:szCs w:val="20"/>
        </w:rPr>
        <w:t>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ascii="宋体" w:hAnsi="宋体"/>
        </w:rPr>
        <w:drawing>
          <wp:anchor distT="0" distB="0" distL="114300" distR="114300" simplePos="0" relativeHeight="251661312" behindDoc="0" locked="0" layoutInCell="1" allowOverlap="1">
            <wp:simplePos x="0" y="0"/>
            <wp:positionH relativeFrom="column">
              <wp:posOffset>1869440</wp:posOffset>
            </wp:positionH>
            <wp:positionV relativeFrom="paragraph">
              <wp:posOffset>34290</wp:posOffset>
            </wp:positionV>
            <wp:extent cx="872490" cy="543560"/>
            <wp:effectExtent l="0" t="0" r="3810" b="254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872490" cy="54356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2021年06月27日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bCs/>
          <w:color w:val="000000"/>
          <w:sz w:val="24"/>
        </w:rPr>
        <w:t xml:space="preserve">重庆昌辉塑料有限公司 </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ascii="宋体" w:hAnsi="宋体"/>
              </w:rPr>
              <w:drawing>
                <wp:anchor distT="0" distB="0" distL="114300" distR="114300" simplePos="0" relativeHeight="251663360" behindDoc="1" locked="0" layoutInCell="1" allowOverlap="1">
                  <wp:simplePos x="0" y="0"/>
                  <wp:positionH relativeFrom="column">
                    <wp:posOffset>772795</wp:posOffset>
                  </wp:positionH>
                  <wp:positionV relativeFrom="paragraph">
                    <wp:posOffset>73660</wp:posOffset>
                  </wp:positionV>
                  <wp:extent cx="681355" cy="389255"/>
                  <wp:effectExtent l="0" t="0" r="4445" b="444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681355" cy="38925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color w:val="000000"/>
                <w:szCs w:val="21"/>
              </w:rPr>
              <w:t>2021年06月27日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ascii="宋体" w:hAnsi="宋体"/>
              </w:rPr>
              <w:drawing>
                <wp:anchor distT="0" distB="0" distL="114300" distR="114300" simplePos="0" relativeHeight="251662336" behindDoc="1" locked="0" layoutInCell="1" allowOverlap="1">
                  <wp:simplePos x="0" y="0"/>
                  <wp:positionH relativeFrom="column">
                    <wp:posOffset>577850</wp:posOffset>
                  </wp:positionH>
                  <wp:positionV relativeFrom="paragraph">
                    <wp:posOffset>15875</wp:posOffset>
                  </wp:positionV>
                  <wp:extent cx="681355" cy="389255"/>
                  <wp:effectExtent l="0" t="0" r="4445" b="444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681355" cy="38925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44E21"/>
    <w:rsid w:val="088C6816"/>
    <w:rsid w:val="169B4373"/>
    <w:rsid w:val="4A0B40A6"/>
    <w:rsid w:val="665E1FEB"/>
    <w:rsid w:val="6B211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2021-07-15T07:05:48Z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75A3FB20F79A40F7B894BD8D794589AB</vt:lpwstr>
  </property>
</Properties>
</file>