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589"/>
        <w:gridCol w:w="261"/>
        <w:gridCol w:w="494"/>
        <w:gridCol w:w="1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广安渝强塑业有限责任公司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四川省广安市前锋区广前大道33号2幢、3幢、5幢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吴世界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13609412293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638019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  <w:r>
              <w:rPr>
                <w:sz w:val="21"/>
                <w:szCs w:val="21"/>
              </w:rPr>
              <w:t>吴世界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0664-2021-E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塑料编织袋生产所涉及场所的相关环境管理活动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14.02.02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 24001-2016/ISO14001:2015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2021年07月02日 上午至2021年07月02日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51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2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51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14.02.02</w:t>
            </w:r>
          </w:p>
        </w:tc>
        <w:tc>
          <w:tcPr>
            <w:tcW w:w="152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51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2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18983000183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510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20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55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2021年0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30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2021年0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30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b/>
                <w:sz w:val="20"/>
              </w:rPr>
              <w:t>2021年0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30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833" w:tblpY="390"/>
        <w:tblOverlap w:val="never"/>
        <w:tblW w:w="10259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88"/>
        <w:gridCol w:w="1545"/>
        <w:gridCol w:w="6899"/>
        <w:gridCol w:w="1327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8" w:hRule="atLeast"/>
        </w:trPr>
        <w:tc>
          <w:tcPr>
            <w:tcW w:w="2033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ind w:right="31" w:rightChars="13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安 排</w:t>
            </w:r>
          </w:p>
          <w:p>
            <w:pPr>
              <w:ind w:firstLine="79" w:firstLineChars="38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时 间</w:t>
            </w:r>
          </w:p>
        </w:tc>
        <w:tc>
          <w:tcPr>
            <w:tcW w:w="8226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9" w:hRule="atLeast"/>
        </w:trPr>
        <w:tc>
          <w:tcPr>
            <w:tcW w:w="48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8:00-8:30</w:t>
            </w:r>
          </w:p>
        </w:tc>
        <w:tc>
          <w:tcPr>
            <w:tcW w:w="689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首次会议: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文平、冉景洲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75" w:hRule="atLeast"/>
        </w:trPr>
        <w:tc>
          <w:tcPr>
            <w:tcW w:w="48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5" w:type="dxa"/>
            <w:vMerge w:val="restart"/>
            <w:tcBorders>
              <w:top w:val="single" w:color="auto" w:sz="4" w:space="0"/>
              <w:left w:val="nil"/>
              <w:right w:val="single" w:color="auto" w:sz="6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8:30-12:00</w:t>
            </w:r>
          </w:p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17" w:name="_GoBack"/>
            <w:bookmarkEnd w:id="17"/>
            <w:r>
              <w:rPr>
                <w:rFonts w:hint="eastAsia" w:ascii="宋体" w:hAnsi="宋体"/>
                <w:sz w:val="21"/>
                <w:szCs w:val="21"/>
              </w:rPr>
              <w:t>(午餐时间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12:00-13:00）</w:t>
            </w:r>
          </w:p>
        </w:tc>
        <w:tc>
          <w:tcPr>
            <w:tcW w:w="689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管理层: 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4.1组织及其环境;4.2相关方需求与期望;4.3确定体系范围;4.4体系;5.1领导作用与承诺;5.2方针;5.3组织的角色、职责和权限；6.1</w:t>
            </w:r>
            <w:r>
              <w:rPr>
                <w:rFonts w:hint="eastAsia" w:ascii="宋体" w:hAnsi="宋体" w:cs="宋体"/>
                <w:sz w:val="21"/>
                <w:szCs w:val="21"/>
              </w:rPr>
              <w:t>应对风险和机遇的措施</w:t>
            </w:r>
            <w:r>
              <w:rPr>
                <w:rFonts w:hint="eastAsia" w:ascii="宋体" w:hAnsi="宋体"/>
                <w:sz w:val="21"/>
                <w:szCs w:val="21"/>
              </w:rPr>
              <w:t>；6.1.4措施的策划；6.2目标及其实现的策划；7.1资源；7.4沟通；9.1.1监测、分析和评估总则；9.3管理评审；10.1改进 总则；10.3持续改进；范围的确认、资质的确认、法律法规执行情况、环保抽查及相关投诉情况、一阶段问题验证。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25" w:hRule="atLeast"/>
        </w:trPr>
        <w:tc>
          <w:tcPr>
            <w:tcW w:w="48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5" w:type="dxa"/>
            <w:vMerge w:val="continue"/>
            <w:tcBorders>
              <w:left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89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行政部（含财务）: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5.3组织的角色、职责和权限；6.1.2环境因素；6.1.3合规义务；6.2目标及其达成的策划；7.2能力；7.3意识；7.5文件化信息；8.1运行策划和控制；8.2应急准备和响应；9.1监视、测量、分析与评估；9.1.2符合性评估；9.2内部审核；10.2不符合和纠正措施；EMS运行控制相关财务支出证据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文平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76" w:hRule="atLeast"/>
        </w:trPr>
        <w:tc>
          <w:tcPr>
            <w:tcW w:w="48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5" w:type="dxa"/>
            <w:vMerge w:val="continue"/>
            <w:tcBorders>
              <w:left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899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生产部: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5.3组织的角色、职责和权限；6.1.2环境因素；6.2目标及其达成的策划；7.4沟通；8.1运行策划和控制；8.2应急准备和响应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文平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3" w:hRule="atLeast"/>
        </w:trPr>
        <w:tc>
          <w:tcPr>
            <w:tcW w:w="48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5" w:type="dxa"/>
            <w:vMerge w:val="continue"/>
            <w:tcBorders>
              <w:left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899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供销</w:t>
            </w:r>
            <w:r>
              <w:rPr>
                <w:rFonts w:hint="eastAsia" w:ascii="宋体" w:hAnsi="宋体"/>
                <w:sz w:val="21"/>
                <w:szCs w:val="21"/>
              </w:rPr>
              <w:t>部:5.3组织的角色、职责和权限、6.1.2环境因素；6.2目标及其达成的策划；7.4沟通；8.1运行策划和控制；8.2应急准备和响应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96" w:hRule="atLeast"/>
        </w:trPr>
        <w:tc>
          <w:tcPr>
            <w:tcW w:w="48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5" w:type="dxa"/>
            <w:vMerge w:val="continue"/>
            <w:tcBorders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89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技质部：5.3组织的角色、职责和权限、6.1.2环境因素；6.2目标及其达成的策划；8.1运行策划和控制；8.2应急准备和响应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3" w:hRule="atLeast"/>
        </w:trPr>
        <w:tc>
          <w:tcPr>
            <w:tcW w:w="48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16:00-17:00</w:t>
            </w:r>
          </w:p>
        </w:tc>
        <w:tc>
          <w:tcPr>
            <w:tcW w:w="689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审核组内部沟通,并与受审核方沟通，末次会议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文平、冉景洲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C556B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2</TotalTime>
  <ScaleCrop>false</ScaleCrop>
  <LinksUpToDate>false</LinksUpToDate>
  <CharactersWithSpaces>1266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小冉</cp:lastModifiedBy>
  <dcterms:modified xsi:type="dcterms:W3CDTF">2021-07-01T14:25:30Z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