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0664-2021-E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广安渝强塑业有限责任公司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广安渝强塑业有限责任公司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四川省广安市前锋区广前大道33号2幢、3幢、5幢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638019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四川省广安市前锋区广前大道33号2幢、3幢、5幢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638019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吴世界</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13609412293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吴世界</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吴世界</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塑料编织袋生产所涉及场所的相关环境管理活动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14.02.02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部门：行政部、生产部、技质部等</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场所：生产现场、办公室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塑料编织袋生产所涉及场所的相关环境管理活动 </w:t>
            </w:r>
          </w:p>
          <w:p>
            <w:pPr>
              <w:tabs>
                <w:tab w:val="left" w:pos="360"/>
              </w:tabs>
              <w:ind w:left="360" w:leftChars="0" w:hanging="360" w:firstLineChars="0"/>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行政部、生产部、</w:t>
            </w:r>
            <w:r>
              <w:rPr>
                <w:rFonts w:hint="eastAsia" w:ascii="宋体" w:hAnsi="宋体"/>
                <w:szCs w:val="21"/>
                <w:lang w:val="en-US" w:eastAsia="zh-CN"/>
              </w:rPr>
              <w:t>供销部</w:t>
            </w:r>
            <w:r>
              <w:rPr>
                <w:rFonts w:hint="eastAsia" w:ascii="宋体" w:hAnsi="宋体"/>
                <w:szCs w:val="21"/>
              </w:rPr>
              <w:t>、技质部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四川省广安市前锋区广前大道33号2幢、3幢、5幢</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szCs w:val="21"/>
              </w:rPr>
              <w:t>中华人民共和国环境保护法、中华人民共和国固体废物污染环境防治法、中华人民共和国大气污染防治法、</w:t>
            </w:r>
            <w:r>
              <w:rPr>
                <w:rFonts w:hint="eastAsia" w:ascii="宋体" w:hAnsi="宋体"/>
                <w:color w:val="auto"/>
                <w:szCs w:val="21"/>
                <w:highlight w:val="none"/>
                <w:lang w:eastAsia="zh-CN"/>
              </w:rPr>
              <w:t>《</w:t>
            </w:r>
            <w:r>
              <w:rPr>
                <w:rFonts w:hint="eastAsia" w:ascii="宋体" w:hAnsi="宋体"/>
                <w:color w:val="auto"/>
                <w:szCs w:val="21"/>
                <w:highlight w:val="none"/>
              </w:rPr>
              <w:t>污水综合排放标准</w:t>
            </w:r>
            <w:r>
              <w:rPr>
                <w:rFonts w:hint="eastAsia" w:ascii="宋体" w:hAnsi="宋体"/>
                <w:color w:val="auto"/>
                <w:szCs w:val="21"/>
                <w:highlight w:val="none"/>
                <w:lang w:eastAsia="zh-CN"/>
              </w:rPr>
              <w:t>》</w:t>
            </w:r>
            <w:r>
              <w:rPr>
                <w:rFonts w:hint="eastAsia" w:ascii="宋体" w:hAnsi="宋体"/>
                <w:color w:val="auto"/>
                <w:szCs w:val="21"/>
                <w:highlight w:val="none"/>
              </w:rPr>
              <w:t>（</w:t>
            </w:r>
            <w:r>
              <w:rPr>
                <w:rFonts w:ascii="宋体" w:hAnsi="宋体"/>
                <w:color w:val="auto"/>
                <w:szCs w:val="21"/>
                <w:highlight w:val="none"/>
              </w:rPr>
              <w:t>GB8978-1996</w:t>
            </w: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级，</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城镇污水处理厂污染物排放标准（GB18918-2002）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一级A标、《</w:t>
            </w:r>
            <w:r>
              <w:rPr>
                <w:rFonts w:hint="eastAsia" w:ascii="宋体" w:hAnsi="宋体"/>
                <w:color w:val="auto"/>
                <w:szCs w:val="21"/>
                <w:highlight w:val="none"/>
              </w:rPr>
              <w:t>工业企业厂界噪声排放标准</w:t>
            </w:r>
            <w:r>
              <w:rPr>
                <w:rFonts w:hint="eastAsia" w:ascii="宋体" w:hAnsi="宋体"/>
                <w:color w:val="auto"/>
                <w:szCs w:val="21"/>
                <w:highlight w:val="none"/>
                <w:lang w:eastAsia="zh-CN"/>
              </w:rPr>
              <w:t>》</w:t>
            </w:r>
            <w:r>
              <w:rPr>
                <w:rFonts w:hint="eastAsia" w:ascii="宋体" w:hAnsi="宋体"/>
                <w:color w:val="auto"/>
                <w:szCs w:val="21"/>
                <w:highlight w:val="none"/>
              </w:rPr>
              <w:t>（GB12348-2008</w:t>
            </w:r>
            <w:r>
              <w:rPr>
                <w:rFonts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四川省固定污染源大气挥发性有机物排放标准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(DB51/2377-2017)</w:t>
            </w:r>
            <w:r>
              <w:rPr>
                <w:rFonts w:hint="eastAsia" w:ascii="宋体" w:hAnsi="宋体"/>
                <w:color w:val="auto"/>
                <w:szCs w:val="21"/>
                <w:highlight w:val="none"/>
                <w:lang w:eastAsia="zh-CN"/>
              </w:rPr>
              <w:t>、《</w:t>
            </w:r>
            <w:r>
              <w:rPr>
                <w:rStyle w:val="9"/>
                <w:rFonts w:ascii="Arial" w:hAnsi="Arial" w:cs="Arial"/>
                <w:i w:val="0"/>
                <w:iCs w:val="0"/>
                <w:color w:val="auto"/>
                <w:highlight w:val="none"/>
              </w:rPr>
              <w:t>大气污染物综合排放标准</w:t>
            </w:r>
            <w:r>
              <w:rPr>
                <w:rStyle w:val="9"/>
                <w:rFonts w:hint="eastAsia" w:ascii="Arial" w:hAnsi="Arial" w:cs="Arial"/>
                <w:i w:val="0"/>
                <w:iCs w:val="0"/>
                <w:color w:val="auto"/>
                <w:highlight w:val="none"/>
                <w:lang w:eastAsia="zh-CN"/>
              </w:rPr>
              <w:t>》</w:t>
            </w:r>
            <w:r>
              <w:rPr>
                <w:rStyle w:val="9"/>
                <w:rFonts w:ascii="Arial" w:hAnsi="Arial" w:cs="Arial"/>
                <w:i w:val="0"/>
                <w:iCs w:val="0"/>
                <w:color w:val="auto"/>
                <w:highlight w:val="none"/>
              </w:rPr>
              <w:t>（</w:t>
            </w:r>
            <w:r>
              <w:rPr>
                <w:rStyle w:val="9"/>
                <w:rFonts w:cs="Arial" w:asciiTheme="minorEastAsia" w:hAnsiTheme="minorEastAsia" w:eastAsiaTheme="minorEastAsia"/>
                <w:i w:val="0"/>
                <w:iCs w:val="0"/>
                <w:color w:val="auto"/>
                <w:szCs w:val="21"/>
                <w:highlight w:val="none"/>
              </w:rPr>
              <w:t>GB16297-1996</w:t>
            </w:r>
            <w:r>
              <w:rPr>
                <w:rStyle w:val="9"/>
                <w:rFonts w:ascii="Arial" w:hAnsi="Arial" w:cs="Arial"/>
                <w:i w:val="0"/>
                <w:iCs w:val="0"/>
                <w:color w:val="auto"/>
                <w:highlight w:val="none"/>
              </w:rPr>
              <w:t>）</w:t>
            </w:r>
            <w:r>
              <w:rPr>
                <w:rFonts w:hint="eastAsia" w:ascii="宋体"/>
                <w:color w:val="00000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ascii="宋体" w:hAnsi="宋体"/>
                <w:szCs w:val="21"/>
              </w:rPr>
            </w:pPr>
            <w:r>
              <w:rPr>
                <w:rFonts w:hint="eastAsia" w:ascii="宋体" w:hAnsi="宋体"/>
                <w:szCs w:val="21"/>
              </w:rPr>
              <w:t>产品流程</w:t>
            </w:r>
          </w:p>
          <w:p>
            <w:pPr>
              <w:widowControl/>
              <w:spacing w:line="400" w:lineRule="exact"/>
              <w:rPr>
                <w:rFonts w:ascii="宋体"/>
                <w:color w:val="000000"/>
                <w:sz w:val="20"/>
                <w:szCs w:val="20"/>
              </w:rPr>
            </w:pPr>
            <w:r>
              <w:rPr>
                <w:rFonts w:hint="eastAsia" w:ascii="宋体" w:hAnsi="宋体"/>
                <w:szCs w:val="21"/>
              </w:rPr>
              <w:t>再生料—配料—拉丝</w:t>
            </w:r>
            <w:r>
              <w:rPr>
                <w:rFonts w:hint="eastAsia" w:ascii="宋体" w:hAnsi="宋体"/>
                <w:szCs w:val="21"/>
              </w:rPr>
              <w:softHyphen/>
            </w:r>
            <w:r>
              <w:rPr>
                <w:rFonts w:hint="eastAsia" w:ascii="宋体" w:hAnsi="宋体"/>
                <w:szCs w:val="21"/>
              </w:rPr>
              <w:t>—编织—印刷—缝制—检验—入库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Times New Roman"/>
                <w:color w:val="000000"/>
                <w:spacing w:val="-10"/>
                <w:sz w:val="20"/>
                <w:szCs w:val="20"/>
              </w:rPr>
              <w:t>电脑、办公设备、</w:t>
            </w:r>
            <w:r>
              <w:rPr>
                <w:rFonts w:hint="eastAsia" w:ascii="宋体" w:hAnsi="宋体" w:cs="Times New Roman"/>
                <w:color w:val="000000"/>
                <w:spacing w:val="-10"/>
                <w:sz w:val="20"/>
                <w:szCs w:val="20"/>
                <w:lang w:val="en-US" w:eastAsia="zh-CN"/>
              </w:rPr>
              <w:t>拉丝机、圆织机、打边机、覆膜机、印字机</w:t>
            </w:r>
            <w:r>
              <w:rPr>
                <w:rFonts w:hint="eastAsia" w:ascii="宋体" w:hAnsi="宋体" w:cs="Times New Roman"/>
                <w:color w:val="000000"/>
                <w:spacing w:val="-1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highlight w:val="none"/>
                <w:lang w:val="en-US" w:eastAsia="zh-CN"/>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特种设备：</w:t>
            </w:r>
            <w:r>
              <w:rPr>
                <w:rFonts w:hint="eastAsia" w:ascii="宋体" w:hAnsi="宋体"/>
                <w:color w:val="000000" w:themeColor="text1"/>
                <w:sz w:val="20"/>
                <w:szCs w:val="20"/>
                <w:highlight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themeColor="text1"/>
                <w:sz w:val="20"/>
                <w:szCs w:val="20"/>
                <w:highlight w:val="none"/>
                <w14:textFill>
                  <w14:solidFill>
                    <w14:schemeClr w14:val="tx1"/>
                  </w14:solidFill>
                </w14:textFill>
              </w:rPr>
            </w:pPr>
            <w:r>
              <w:rPr>
                <w:rFonts w:hint="eastAsia" w:ascii="宋体"/>
                <w:color w:val="000000" w:themeColor="text1"/>
                <w:sz w:val="20"/>
                <w:szCs w:val="20"/>
                <w:highlight w:val="none"/>
                <w14:textFill>
                  <w14:solidFill>
                    <w14:schemeClr w14:val="tx1"/>
                  </w14:solidFill>
                </w14:textFill>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highlight w:val="none"/>
                <w14:textFill>
                  <w14:solidFill>
                    <w14:schemeClr w14:val="tx1"/>
                  </w14:solidFill>
                </w14:textFill>
              </w:rPr>
            </w:pPr>
            <w:r>
              <w:rPr>
                <w:rFonts w:hint="eastAsia" w:ascii="宋体"/>
                <w:color w:val="000000" w:themeColor="text1"/>
                <w:sz w:val="20"/>
                <w:szCs w:val="20"/>
                <w:highlight w:val="none"/>
                <w14:textFill>
                  <w14:solidFill>
                    <w14:schemeClr w14:val="tx1"/>
                  </w14:solidFill>
                </w14:textFill>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重要环境因素控制情况（EMS适用）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重要环境因素有：</w:t>
            </w:r>
            <w:r>
              <w:rPr>
                <w:rFonts w:hint="eastAsia" w:ascii="宋体" w:hAnsi="Times New Roman" w:cs="Times New Roman"/>
                <w:color w:val="000000"/>
                <w:sz w:val="20"/>
                <w:szCs w:val="20"/>
                <w:lang w:val="en-US" w:eastAsia="zh-CN"/>
              </w:rPr>
              <w:t>固体废弃物排放、火灾、</w:t>
            </w:r>
            <w:r>
              <w:rPr>
                <w:rFonts w:hint="eastAsia" w:ascii="宋体" w:hAnsi="Times New Roman" w:cs="Times New Roman"/>
                <w:color w:val="000000"/>
                <w:sz w:val="20"/>
                <w:szCs w:val="20"/>
              </w:rPr>
              <w:t>噪声排放、废</w:t>
            </w:r>
            <w:r>
              <w:rPr>
                <w:rFonts w:hint="eastAsia" w:ascii="宋体" w:hAnsi="Times New Roman" w:cs="Times New Roman"/>
                <w:color w:val="000000"/>
                <w:sz w:val="20"/>
                <w:szCs w:val="20"/>
                <w:lang w:val="en-US" w:eastAsia="zh-CN"/>
              </w:rPr>
              <w:t>气</w:t>
            </w:r>
            <w:r>
              <w:rPr>
                <w:rFonts w:hint="eastAsia" w:ascii="宋体" w:hAnsi="Times New Roman" w:cs="Times New Roman"/>
                <w:color w:val="000000"/>
                <w:sz w:val="20"/>
                <w:szCs w:val="20"/>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针对重要环境因素建立了运行控制程序：1）环境因素识别与评价管理程序；2）环境运行管理程序。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针对重要环境因素是否明确了监视和测量的要求：监视和测量管理程序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是否识别了潜在的紧急情况</w:t>
            </w:r>
            <w:r>
              <w:rPr>
                <w:rFonts w:hint="eastAsia" w:ascii="宋体" w:hAnsi="Times New Roman" w:cs="Times New Roman"/>
                <w:color w:val="000000"/>
                <w:sz w:val="20"/>
                <w:szCs w:val="20"/>
              </w:rPr>
              <w:sym w:font="Wingdings 2" w:char="0052"/>
            </w:r>
            <w:r>
              <w:rPr>
                <w:rFonts w:hint="eastAsia" w:ascii="宋体" w:hAnsi="Times New Roman" w:cs="Times New Roman"/>
                <w:color w:val="000000"/>
                <w:sz w:val="20"/>
                <w:szCs w:val="20"/>
              </w:rPr>
              <w:t>是□否，识别是否充分</w:t>
            </w:r>
            <w:r>
              <w:rPr>
                <w:rFonts w:hint="eastAsia" w:ascii="宋体" w:hAnsi="Times New Roman" w:cs="Times New Roman"/>
                <w:color w:val="000000"/>
                <w:sz w:val="20"/>
                <w:szCs w:val="20"/>
              </w:rPr>
              <w:sym w:font="Wingdings 2" w:char="0052"/>
            </w:r>
            <w:r>
              <w:rPr>
                <w:rFonts w:hint="eastAsia" w:ascii="宋体" w:hAnsi="Times New Roman" w:cs="Times New Roman"/>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针对潜在的紧急情况是否建立了应急准备与响应程序</w:t>
            </w:r>
            <w:r>
              <w:rPr>
                <w:rFonts w:hint="eastAsia" w:ascii="宋体" w:hAnsi="Times New Roman" w:cs="Times New Roman"/>
                <w:color w:val="000000"/>
                <w:sz w:val="20"/>
                <w:szCs w:val="20"/>
              </w:rPr>
              <w:sym w:font="Wingdings 2" w:char="0052"/>
            </w:r>
            <w:r>
              <w:rPr>
                <w:rFonts w:hint="eastAsia" w:ascii="宋体" w:hAnsi="Times New Roman"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是否针对每一种潜在紧急情况建立了应急响应预案是否充分</w:t>
            </w:r>
            <w:r>
              <w:rPr>
                <w:rFonts w:hint="eastAsia" w:ascii="宋体" w:hAnsi="Times New Roman" w:cs="Times New Roman"/>
                <w:color w:val="000000"/>
                <w:sz w:val="20"/>
                <w:szCs w:val="20"/>
              </w:rPr>
              <w:sym w:font="Wingdings 2" w:char="0052"/>
            </w:r>
            <w:r>
              <w:rPr>
                <w:rFonts w:hint="eastAsia" w:ascii="宋体" w:hAnsi="Times New Roman" w:cs="Times New Roman"/>
                <w:color w:val="000000"/>
                <w:sz w:val="20"/>
                <w:szCs w:val="20"/>
              </w:rPr>
              <w:t>是□否</w:t>
            </w:r>
            <w:r>
              <w:rPr>
                <w:rFonts w:hint="eastAsia" w:ascii="宋体" w:hAnsi="Times New Roman" w:cs="Times New Roman"/>
                <w:color w:val="000000"/>
                <w:sz w:val="20"/>
                <w:szCs w:val="20"/>
              </w:rPr>
              <w:sym w:font="Wingdings 2" w:char="0052"/>
            </w:r>
            <w:r>
              <w:rPr>
                <w:rFonts w:hint="eastAsia" w:ascii="宋体" w:hAnsi="Times New Roman" w:cs="Times New Roman"/>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rPr>
              <w:t>应急预案有：消防火灾应急疏散预案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重点审核部门：生产部、行政部</w:t>
            </w:r>
          </w:p>
          <w:p>
            <w:pPr>
              <w:spacing w:line="260" w:lineRule="exact"/>
              <w:rPr>
                <w:rFonts w:ascii="宋体"/>
                <w:b/>
                <w:color w:val="000000"/>
                <w:sz w:val="20"/>
                <w:szCs w:val="20"/>
              </w:rPr>
            </w:pPr>
            <w:r>
              <w:rPr>
                <w:rFonts w:hint="eastAsia" w:ascii="宋体" w:hAnsi="宋体"/>
                <w:b/>
                <w:color w:val="000000"/>
                <w:sz w:val="20"/>
                <w:szCs w:val="20"/>
              </w:rPr>
              <w:t>重点审核场所：生产车间</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办公场所</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1"/>
                <w:szCs w:val="21"/>
              </w:rPr>
            </w:pPr>
            <w:r>
              <w:rPr>
                <w:rFonts w:hint="eastAsia" w:ascii="宋体" w:hAnsi="宋体"/>
                <w:b/>
                <w:color w:val="000000"/>
                <w:sz w:val="21"/>
                <w:szCs w:val="21"/>
              </w:rPr>
              <w:t>内部审核</w:t>
            </w:r>
          </w:p>
        </w:tc>
        <w:tc>
          <w:tcPr>
            <w:tcW w:w="8221" w:type="dxa"/>
          </w:tcPr>
          <w:p>
            <w:pPr>
              <w:spacing w:line="400" w:lineRule="exact"/>
              <w:rPr>
                <w:sz w:val="21"/>
                <w:szCs w:val="21"/>
              </w:rPr>
            </w:pPr>
            <w:r>
              <w:rPr>
                <w:rFonts w:hint="eastAsia" w:ascii="宋体" w:hAnsi="宋体"/>
                <w:b/>
                <w:color w:val="000000"/>
                <w:sz w:val="21"/>
                <w:szCs w:val="21"/>
              </w:rPr>
              <w:t>了解内审的策划</w:t>
            </w:r>
            <w:r>
              <w:rPr>
                <w:rFonts w:ascii="宋体" w:hAnsi="宋体"/>
                <w:b/>
                <w:color w:val="000000"/>
                <w:sz w:val="21"/>
                <w:szCs w:val="21"/>
              </w:rPr>
              <w:t xml:space="preserve">; </w:t>
            </w:r>
            <w:r>
              <w:rPr>
                <w:rFonts w:hint="eastAsia"/>
                <w:sz w:val="21"/>
                <w:szCs w:val="21"/>
              </w:rPr>
              <w:t>建立有《内部审核管理制度》，于</w:t>
            </w:r>
            <w:r>
              <w:rPr>
                <w:rFonts w:hint="eastAsia" w:ascii="宋体" w:hAnsi="宋体" w:cs="Times New Roman"/>
                <w:szCs w:val="21"/>
              </w:rPr>
              <w:t>2021年4月10日</w:t>
            </w:r>
            <w:r>
              <w:rPr>
                <w:rFonts w:hint="eastAsia"/>
                <w:sz w:val="21"/>
                <w:szCs w:val="21"/>
              </w:rPr>
              <w:t>进行了内部审核。</w:t>
            </w:r>
          </w:p>
          <w:p>
            <w:pPr>
              <w:spacing w:line="400" w:lineRule="exact"/>
              <w:rPr>
                <w:rFonts w:ascii="宋体"/>
                <w:b/>
                <w:color w:val="000000"/>
                <w:sz w:val="21"/>
                <w:szCs w:val="21"/>
              </w:rPr>
            </w:pPr>
            <w:r>
              <w:rPr>
                <w:rFonts w:hint="eastAsia"/>
                <w:sz w:val="21"/>
                <w:szCs w:val="21"/>
              </w:rPr>
              <w:t>内部审核组由：</w:t>
            </w:r>
            <w:r>
              <w:rPr>
                <w:rFonts w:hint="eastAsia" w:ascii="宋体" w:hAnsi="宋体" w:cs="Times New Roman"/>
                <w:szCs w:val="21"/>
              </w:rPr>
              <w:t>杨蓓蕾</w:t>
            </w:r>
            <w:r>
              <w:rPr>
                <w:rFonts w:hint="eastAsia" w:ascii="宋体" w:hAnsi="宋体" w:cs="Times New Roman"/>
                <w:szCs w:val="21"/>
                <w:lang w:eastAsia="zh-CN"/>
              </w:rPr>
              <w:t>（</w:t>
            </w:r>
            <w:r>
              <w:rPr>
                <w:rFonts w:hint="eastAsia" w:ascii="宋体" w:hAnsi="宋体" w:cs="Times New Roman"/>
                <w:szCs w:val="21"/>
              </w:rPr>
              <w:t>组长）、 周仁浪 （组员）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1"/>
                <w:szCs w:val="21"/>
              </w:rPr>
            </w:pPr>
          </w:p>
        </w:tc>
        <w:tc>
          <w:tcPr>
            <w:tcW w:w="8221" w:type="dxa"/>
          </w:tcPr>
          <w:p>
            <w:pPr>
              <w:spacing w:line="340" w:lineRule="exact"/>
              <w:rPr>
                <w:rFonts w:ascii="宋体" w:hAnsi="宋体"/>
                <w:b/>
                <w:color w:val="000000"/>
                <w:sz w:val="21"/>
                <w:szCs w:val="21"/>
              </w:rPr>
            </w:pPr>
            <w:r>
              <w:rPr>
                <w:rFonts w:hint="eastAsia" w:ascii="宋体" w:hAnsi="宋体"/>
                <w:b/>
                <w:color w:val="000000"/>
                <w:sz w:val="21"/>
                <w:szCs w:val="21"/>
              </w:rPr>
              <w:t>了解内审是否覆盖了管理体系范围内的活动及标准的要求</w:t>
            </w:r>
            <w:r>
              <w:rPr>
                <w:rFonts w:ascii="宋体" w:hAnsi="宋体"/>
                <w:b/>
                <w:color w:val="000000"/>
                <w:sz w:val="21"/>
                <w:szCs w:val="21"/>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、服务场所</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1"/>
                <w:szCs w:val="21"/>
              </w:rPr>
            </w:pPr>
            <w:r>
              <w:rPr>
                <w:rFonts w:ascii="仿宋" w:hAnsi="仿宋" w:eastAsia="仿宋"/>
                <w:sz w:val="21"/>
                <w:szCs w:val="21"/>
              </w:rPr>
              <w:t>审核准</w:t>
            </w:r>
            <w:r>
              <w:rPr>
                <w:rFonts w:hint="eastAsia" w:ascii="仿宋" w:hAnsi="仿宋" w:eastAsia="仿宋"/>
                <w:sz w:val="21"/>
                <w:szCs w:val="21"/>
              </w:rPr>
              <w:t>则：a.GB/T 24001-2016标准；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hAnsi="宋体"/>
                <w:b/>
                <w:color w:val="000000"/>
                <w:sz w:val="21"/>
                <w:szCs w:val="21"/>
              </w:rPr>
            </w:pPr>
            <w:r>
              <w:rPr>
                <w:rFonts w:hint="eastAsia" w:ascii="宋体" w:hAnsi="宋体"/>
                <w:b/>
                <w:color w:val="000000"/>
                <w:sz w:val="21"/>
                <w:szCs w:val="21"/>
              </w:rPr>
              <w:t>了解内审结论是什么？</w:t>
            </w:r>
          </w:p>
          <w:p>
            <w:pPr>
              <w:tabs>
                <w:tab w:val="right" w:pos="9332"/>
              </w:tabs>
              <w:spacing w:line="400" w:lineRule="exact"/>
              <w:ind w:firstLine="378" w:firstLineChars="200"/>
              <w:rPr>
                <w:rFonts w:ascii="宋体" w:hAnsi="宋体" w:cs="宋体"/>
                <w:w w:val="90"/>
                <w:sz w:val="21"/>
                <w:szCs w:val="21"/>
              </w:rPr>
            </w:pPr>
            <w:r>
              <w:rPr>
                <w:rFonts w:hint="eastAsia" w:ascii="宋体" w:hAnsi="宋体" w:cs="宋体"/>
                <w:w w:val="90"/>
                <w:sz w:val="21"/>
                <w:szCs w:val="21"/>
              </w:rPr>
              <w:t>本次内审对GB/T 24001-2016标准体系文件管理手册、体系文件进行了全面检查，通过审核可以看出管理体系已基本进入了正常状态，但仍存在一些问题，需要把握顾客的需求及加强销售和售后服务人员的培训。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 w:val="21"/>
                <w:szCs w:val="21"/>
              </w:rPr>
            </w:pPr>
            <w:r>
              <w:rPr>
                <w:rFonts w:hint="eastAsia" w:ascii="宋体" w:hAnsi="宋体" w:cs="宋体"/>
                <w:w w:val="90"/>
                <w:sz w:val="21"/>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1"/>
                <w:szCs w:val="21"/>
              </w:rPr>
            </w:pPr>
            <w:r>
              <w:rPr>
                <w:rFonts w:hint="eastAsia" w:ascii="宋体" w:hAnsi="宋体" w:cs="宋体"/>
                <w:w w:val="90"/>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1"/>
                <w:szCs w:val="21"/>
              </w:rPr>
            </w:pPr>
            <w:r>
              <w:rPr>
                <w:rFonts w:hint="eastAsia" w:ascii="宋体" w:hAnsi="宋体"/>
                <w:b/>
                <w:color w:val="000000"/>
                <w:sz w:val="21"/>
                <w:szCs w:val="21"/>
              </w:rPr>
              <w:t>管理评审</w:t>
            </w: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了解管理评审的策划</w:t>
            </w:r>
            <w:r>
              <w:rPr>
                <w:rFonts w:ascii="宋体" w:hAnsi="宋体"/>
                <w:b/>
                <w:color w:val="000000"/>
                <w:sz w:val="21"/>
                <w:szCs w:val="21"/>
              </w:rPr>
              <w:t xml:space="preserve">; </w:t>
            </w:r>
            <w:r>
              <w:rPr>
                <w:rFonts w:hint="eastAsia"/>
                <w:sz w:val="21"/>
                <w:szCs w:val="21"/>
              </w:rPr>
              <w:t>建立有《管理评审控制程序》，于</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月2</w:t>
            </w:r>
            <w:r>
              <w:rPr>
                <w:rFonts w:hint="eastAsia" w:ascii="宋体" w:hAnsi="宋体"/>
                <w:color w:val="auto"/>
                <w:szCs w:val="21"/>
                <w:lang w:val="en-US" w:eastAsia="zh-CN"/>
              </w:rPr>
              <w:t>5</w:t>
            </w:r>
            <w:r>
              <w:rPr>
                <w:rFonts w:hint="eastAsia" w:ascii="宋体" w:hAnsi="宋体"/>
                <w:color w:val="auto"/>
                <w:szCs w:val="21"/>
              </w:rPr>
              <w:t>日</w:t>
            </w:r>
            <w:r>
              <w:rPr>
                <w:rFonts w:hint="eastAsia"/>
                <w:sz w:val="21"/>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adjustRightInd w:val="0"/>
              <w:spacing w:line="400" w:lineRule="exact"/>
              <w:textAlignment w:val="baseline"/>
              <w:rPr>
                <w:rFonts w:ascii="宋体"/>
                <w:b/>
                <w:color w:val="000000"/>
                <w:sz w:val="21"/>
                <w:szCs w:val="21"/>
              </w:rPr>
            </w:pPr>
            <w:r>
              <w:rPr>
                <w:rFonts w:hint="eastAsia" w:ascii="宋体" w:hAnsi="宋体"/>
                <w:b/>
                <w:color w:val="000000"/>
                <w:sz w:val="21"/>
                <w:szCs w:val="21"/>
              </w:rPr>
              <w:t>了解管理评审输入是否充分</w:t>
            </w:r>
            <w:r>
              <w:rPr>
                <w:rFonts w:ascii="宋体" w:hAnsi="宋体"/>
                <w:b/>
                <w:color w:val="000000"/>
                <w:sz w:val="21"/>
                <w:szCs w:val="21"/>
              </w:rPr>
              <w:t xml:space="preserve">; </w:t>
            </w:r>
            <w:r>
              <w:rPr>
                <w:rFonts w:hint="eastAsia" w:ascii="宋体" w:hAnsi="宋体"/>
                <w:kern w:val="0"/>
                <w:sz w:val="21"/>
                <w:szCs w:val="21"/>
              </w:rPr>
              <w:t>提供主要输入材料有：各部门总结，</w:t>
            </w:r>
            <w:r>
              <w:rPr>
                <w:rFonts w:hint="eastAsia" w:ascii="宋体"/>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了解管理评审结论</w:t>
            </w:r>
            <w:r>
              <w:rPr>
                <w:rFonts w:ascii="宋体" w:hAnsi="宋体"/>
                <w:b/>
                <w:color w:val="000000"/>
                <w:sz w:val="21"/>
                <w:szCs w:val="21"/>
              </w:rPr>
              <w:t xml:space="preserve">; </w:t>
            </w:r>
            <w:r>
              <w:rPr>
                <w:rFonts w:hint="eastAsia"/>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 w:val="21"/>
                <w:szCs w:val="21"/>
              </w:rPr>
            </w:pPr>
            <w:r>
              <w:rPr>
                <w:rFonts w:hint="eastAsia" w:ascii="宋体" w:hAnsi="宋体"/>
                <w:b/>
                <w:color w:val="000000"/>
                <w:sz w:val="21"/>
                <w:szCs w:val="21"/>
              </w:rPr>
              <w:t>评价受审核方对内审和管理评审的关注情况，是否已为二阶段审核做好准备</w:t>
            </w:r>
            <w:r>
              <w:rPr>
                <w:rFonts w:ascii="宋体" w:hAnsi="宋体"/>
                <w:b/>
                <w:color w:val="000000"/>
                <w:sz w:val="21"/>
                <w:szCs w:val="21"/>
              </w:rPr>
              <w:t xml:space="preserve">: </w:t>
            </w:r>
            <w:r>
              <w:rPr>
                <w:rFonts w:hint="eastAsia" w:ascii="宋体" w:hAnsi="宋体"/>
                <w:b/>
                <w:color w:val="000000"/>
                <w:sz w:val="21"/>
                <w:szCs w:val="21"/>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hint="eastAsia" w:ascii="宋体" w:hAnsi="宋体"/>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ascii="宋体" w:hAnsi="宋体"/>
          <w:szCs w:val="21"/>
          <w:u w:val="single"/>
        </w:rPr>
        <w:t xml:space="preserve">塑料编织袋生产所涉及场所的相关环境管理活动 </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ascii="宋体" w:hAnsi="宋体" w:eastAsia="宋体" w:cs="Times New Roman"/>
          <w:kern w:val="2"/>
          <w:sz w:val="21"/>
          <w:szCs w:val="22"/>
          <w:lang w:val="en-US" w:eastAsia="zh-CN" w:bidi="ar-SA"/>
        </w:rPr>
        <w:drawing>
          <wp:anchor distT="0" distB="0" distL="114300" distR="114300" simplePos="0" relativeHeight="251707392" behindDoc="0" locked="0" layoutInCell="1" allowOverlap="1">
            <wp:simplePos x="0" y="0"/>
            <wp:positionH relativeFrom="column">
              <wp:posOffset>1957705</wp:posOffset>
            </wp:positionH>
            <wp:positionV relativeFrom="paragraph">
              <wp:posOffset>111125</wp:posOffset>
            </wp:positionV>
            <wp:extent cx="440690" cy="408305"/>
            <wp:effectExtent l="0" t="0" r="3810" b="10795"/>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40690" cy="40830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2021年06月26日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广安渝强塑业有限责任公司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757568" behindDoc="0" locked="0" layoutInCell="1" allowOverlap="1">
                  <wp:simplePos x="0" y="0"/>
                  <wp:positionH relativeFrom="column">
                    <wp:posOffset>595630</wp:posOffset>
                  </wp:positionH>
                  <wp:positionV relativeFrom="paragraph">
                    <wp:posOffset>17145</wp:posOffset>
                  </wp:positionV>
                  <wp:extent cx="411480" cy="381000"/>
                  <wp:effectExtent l="0" t="0" r="7620" b="0"/>
                  <wp:wrapNone/>
                  <wp:docPr id="3"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bookmarkStart w:id="25" w:name="审核开始日"/>
            <w:r>
              <w:rPr>
                <w:rFonts w:hint="eastAsia"/>
                <w:color w:val="000000"/>
                <w:szCs w:val="21"/>
              </w:rPr>
              <w:t xml:space="preserve">2021年06月26日 </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807744" behindDoc="0" locked="0" layoutInCell="1" allowOverlap="1">
                  <wp:simplePos x="0" y="0"/>
                  <wp:positionH relativeFrom="column">
                    <wp:posOffset>628015</wp:posOffset>
                  </wp:positionH>
                  <wp:positionV relativeFrom="paragraph">
                    <wp:posOffset>17145</wp:posOffset>
                  </wp:positionV>
                  <wp:extent cx="411480" cy="381000"/>
                  <wp:effectExtent l="0" t="0" r="7620" b="0"/>
                  <wp:wrapNone/>
                  <wp:docPr id="4"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900415"/>
    <w:rsid w:val="5BC65801"/>
    <w:rsid w:val="65097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locked/>
    <w:uiPriority w:val="20"/>
    <w:rPr>
      <w:i/>
      <w:iCs/>
    </w:r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2021-07-02T07:12:21Z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