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绵阳市川康盛能源科技有限公司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四川省绵阳市经开区塘汛镇塘坊大道677号积家工业园2栋1层A区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刘学英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18676009319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王怀琛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0209-2019-EO-2021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E:监查2,O:监查2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bookmarkStart w:id="8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保持认证注册资格：__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监督2</w:t>
            </w:r>
            <w:r>
              <w:rPr>
                <w:rFonts w:hint="eastAsia" w:ascii="宋体" w:hAnsi="宋体"/>
                <w:b/>
                <w:bCs/>
                <w:sz w:val="20"/>
              </w:rPr>
              <w:t>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E：塑料制品（标志桩、标志砖）的销售及相关的环境管理活动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O：塑料制品（标志桩、标志砖）的销售及相关职业健康安全管理活动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2021年06月30日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2021年06月30日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2021.06.26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>
      <w:pPr>
        <w:spacing w:line="3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现场</w:t>
      </w: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75"/>
        <w:gridCol w:w="1559"/>
        <w:gridCol w:w="5929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48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929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ISO45001:2018：文平</w:t>
            </w:r>
            <w:bookmarkStart w:id="18" w:name="_GoBack"/>
            <w:bookmarkEnd w:id="18"/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权限；5.4参与和协商；6.1应对风险和机遇的措施6.1.4措施的策划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，上次审核不符合验证。</w:t>
            </w:r>
          </w:p>
        </w:tc>
        <w:tc>
          <w:tcPr>
            <w:tcW w:w="8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部（含财务）</w:t>
            </w:r>
          </w:p>
        </w:tc>
        <w:tc>
          <w:tcPr>
            <w:tcW w:w="5929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6.1.2环境因素；6.1.3合规义务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8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8294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中午休息1小时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929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ISO45001:2018：文平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8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748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D475C"/>
    <w:rsid w:val="09AD57EE"/>
    <w:rsid w:val="13E82D83"/>
    <w:rsid w:val="1460382A"/>
    <w:rsid w:val="1AA851B7"/>
    <w:rsid w:val="237F3C3E"/>
    <w:rsid w:val="41305613"/>
    <w:rsid w:val="4A0A1729"/>
    <w:rsid w:val="4E1F2FBE"/>
    <w:rsid w:val="56DF085F"/>
    <w:rsid w:val="5C870D52"/>
    <w:rsid w:val="699F1606"/>
    <w:rsid w:val="6B467B59"/>
    <w:rsid w:val="6F5902C1"/>
    <w:rsid w:val="712F1CE1"/>
    <w:rsid w:val="73111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2021-06-30T01:03:52Z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8A9F3B842563408E9EB2D46004605CF5</vt:lpwstr>
  </property>
</Properties>
</file>