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88"/>
        <w:gridCol w:w="1465"/>
        <w:gridCol w:w="6"/>
        <w:gridCol w:w="567"/>
        <w:gridCol w:w="1242"/>
        <w:gridCol w:w="75"/>
        <w:gridCol w:w="101"/>
        <w:gridCol w:w="74"/>
        <w:gridCol w:w="515"/>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西安浩木斯石油化工质量技术服务有限公司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陕西省西安市经济技术开发区旭辉荣华国际商务项目中心2号楼16层40号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781" w:type="dxa"/>
            <w:gridSpan w:val="5"/>
            <w:vAlign w:val="center"/>
          </w:tcPr>
          <w:p>
            <w:pPr>
              <w:rPr>
                <w:sz w:val="21"/>
                <w:szCs w:val="21"/>
              </w:rPr>
            </w:pPr>
            <w:bookmarkStart w:id="2" w:name="联系人"/>
            <w:r>
              <w:rPr>
                <w:sz w:val="21"/>
                <w:szCs w:val="21"/>
              </w:rPr>
              <w:t>郭智勇</w:t>
            </w:r>
            <w:bookmarkEnd w:id="2"/>
          </w:p>
        </w:tc>
        <w:tc>
          <w:tcPr>
            <w:tcW w:w="1465"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13907309268</w:t>
            </w:r>
            <w:bookmarkEnd w:id="3"/>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710015</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781" w:type="dxa"/>
            <w:gridSpan w:val="5"/>
            <w:vAlign w:val="center"/>
          </w:tcPr>
          <w:p>
            <w:bookmarkStart w:id="5" w:name="最高管理者"/>
            <w:bookmarkEnd w:id="5"/>
            <w:r>
              <w:rPr>
                <w:sz w:val="21"/>
                <w:szCs w:val="21"/>
              </w:rPr>
              <w:t>郭智勇</w:t>
            </w:r>
          </w:p>
        </w:tc>
        <w:tc>
          <w:tcPr>
            <w:tcW w:w="1465"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362559393@qq.com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781" w:type="dxa"/>
            <w:gridSpan w:val="5"/>
            <w:vAlign w:val="center"/>
          </w:tcPr>
          <w:p>
            <w:pPr>
              <w:rPr>
                <w:sz w:val="20"/>
              </w:rPr>
            </w:pPr>
            <w:bookmarkStart w:id="8" w:name="合同编号"/>
            <w:r>
              <w:rPr>
                <w:sz w:val="20"/>
              </w:rPr>
              <w:t>0668-2021-QEO</w:t>
            </w:r>
            <w:bookmarkEnd w:id="8"/>
          </w:p>
        </w:tc>
        <w:tc>
          <w:tcPr>
            <w:tcW w:w="1471"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Q：资质范围内的设备监理服务</w:t>
            </w:r>
          </w:p>
          <w:p>
            <w:pPr>
              <w:rPr>
                <w:sz w:val="20"/>
              </w:rPr>
            </w:pPr>
            <w:r>
              <w:rPr>
                <w:sz w:val="20"/>
              </w:rPr>
              <w:t>E：资质范围内的设备监理服务所涉及场所的相关环境管理活动</w:t>
            </w:r>
          </w:p>
          <w:p>
            <w:pPr>
              <w:rPr>
                <w:sz w:val="20"/>
              </w:rPr>
            </w:pPr>
            <w:r>
              <w:rPr>
                <w:sz w:val="20"/>
              </w:rPr>
              <w:t>O：资质范围内的设备监理服务所涉及场所的相关职业健康安全管理活动</w:t>
            </w:r>
            <w:bookmarkEnd w:id="13"/>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Q：34.01.02</w:t>
            </w:r>
          </w:p>
          <w:p>
            <w:pPr>
              <w:rPr>
                <w:sz w:val="20"/>
              </w:rPr>
            </w:pPr>
            <w:r>
              <w:rPr>
                <w:sz w:val="20"/>
              </w:rPr>
              <w:t>E：34.01.02</w:t>
            </w:r>
          </w:p>
          <w:p>
            <w:pPr>
              <w:rPr>
                <w:sz w:val="20"/>
              </w:rPr>
            </w:pPr>
            <w:r>
              <w:rPr>
                <w:sz w:val="20"/>
              </w:rPr>
              <w:t>O：34.01.02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2021年06月28日 下午至2021年06月29日 下午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181" w:type="dxa"/>
            <w:gridSpan w:val="2"/>
            <w:vAlign w:val="center"/>
          </w:tcPr>
          <w:p>
            <w:pPr>
              <w:jc w:val="center"/>
              <w:rPr>
                <w:sz w:val="20"/>
              </w:rPr>
            </w:pPr>
            <w:r>
              <w:rPr>
                <w:rFonts w:hint="eastAsia"/>
                <w:sz w:val="20"/>
              </w:rPr>
              <w:t>注册资格</w:t>
            </w:r>
          </w:p>
        </w:tc>
        <w:tc>
          <w:tcPr>
            <w:tcW w:w="3530" w:type="dxa"/>
            <w:gridSpan w:val="7"/>
            <w:vAlign w:val="center"/>
          </w:tcPr>
          <w:p>
            <w:pPr>
              <w:jc w:val="center"/>
              <w:rPr>
                <w:sz w:val="20"/>
              </w:rPr>
            </w:pPr>
            <w:r>
              <w:rPr>
                <w:rFonts w:hint="eastAsia"/>
                <w:sz w:val="20"/>
              </w:rPr>
              <w:t>专业代码</w:t>
            </w:r>
          </w:p>
        </w:tc>
        <w:tc>
          <w:tcPr>
            <w:tcW w:w="1384" w:type="dxa"/>
            <w:gridSpan w:val="3"/>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181"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530" w:type="dxa"/>
            <w:gridSpan w:val="7"/>
            <w:vAlign w:val="center"/>
          </w:tcPr>
          <w:p>
            <w:pPr>
              <w:jc w:val="center"/>
              <w:rPr>
                <w:sz w:val="20"/>
              </w:rPr>
            </w:pPr>
            <w:r>
              <w:rPr>
                <w:sz w:val="20"/>
              </w:rPr>
              <w:t>Q:34.01.02</w:t>
            </w:r>
          </w:p>
          <w:p>
            <w:pPr>
              <w:jc w:val="center"/>
              <w:rPr>
                <w:sz w:val="20"/>
              </w:rPr>
            </w:pPr>
            <w:r>
              <w:rPr>
                <w:sz w:val="20"/>
              </w:rPr>
              <w:t>E:34.01.02</w:t>
            </w:r>
          </w:p>
          <w:p>
            <w:pPr>
              <w:jc w:val="center"/>
              <w:rPr>
                <w:sz w:val="20"/>
              </w:rPr>
            </w:pPr>
            <w:r>
              <w:rPr>
                <w:sz w:val="20"/>
              </w:rPr>
              <w:t>O:34.01.02</w:t>
            </w:r>
          </w:p>
        </w:tc>
        <w:tc>
          <w:tcPr>
            <w:tcW w:w="1384" w:type="dxa"/>
            <w:gridSpan w:val="3"/>
            <w:vAlign w:val="center"/>
          </w:tcPr>
          <w:p>
            <w:pPr>
              <w:jc w:val="center"/>
              <w:rPr>
                <w:sz w:val="20"/>
              </w:rPr>
            </w:pPr>
            <w:r>
              <w:rPr>
                <w:sz w:val="20"/>
              </w:rPr>
              <w:t>13983696917</w:t>
            </w:r>
          </w:p>
        </w:tc>
        <w:tc>
          <w:tcPr>
            <w:tcW w:w="1141"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余家龙</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181" w:type="dxa"/>
            <w:gridSpan w:val="2"/>
            <w:vAlign w:val="center"/>
          </w:tcPr>
          <w:p>
            <w:pPr>
              <w:jc w:val="center"/>
              <w:rPr>
                <w:sz w:val="20"/>
              </w:rPr>
            </w:pPr>
            <w:r>
              <w:rPr>
                <w:sz w:val="20"/>
              </w:rPr>
              <w:t>Q:审核员</w:t>
            </w:r>
          </w:p>
          <w:p>
            <w:pPr>
              <w:jc w:val="center"/>
              <w:rPr>
                <w:sz w:val="20"/>
              </w:rPr>
            </w:pPr>
            <w:r>
              <w:rPr>
                <w:sz w:val="20"/>
              </w:rPr>
              <w:t>E:审核员</w:t>
            </w:r>
          </w:p>
        </w:tc>
        <w:tc>
          <w:tcPr>
            <w:tcW w:w="3530" w:type="dxa"/>
            <w:gridSpan w:val="7"/>
            <w:vAlign w:val="center"/>
          </w:tcPr>
          <w:p>
            <w:pPr>
              <w:jc w:val="center"/>
              <w:rPr>
                <w:sz w:val="20"/>
              </w:rPr>
            </w:pPr>
          </w:p>
        </w:tc>
        <w:tc>
          <w:tcPr>
            <w:tcW w:w="1384" w:type="dxa"/>
            <w:gridSpan w:val="3"/>
            <w:vAlign w:val="center"/>
          </w:tcPr>
          <w:p>
            <w:pPr>
              <w:jc w:val="center"/>
              <w:rPr>
                <w:sz w:val="20"/>
              </w:rPr>
            </w:pPr>
            <w:r>
              <w:rPr>
                <w:sz w:val="20"/>
              </w:rPr>
              <w:t>15181072354 17709081193</w:t>
            </w:r>
          </w:p>
        </w:tc>
        <w:tc>
          <w:tcPr>
            <w:tcW w:w="1141" w:type="dxa"/>
            <w:vAlign w:val="center"/>
          </w:tcPr>
          <w:p>
            <w:pPr>
              <w:jc w:val="center"/>
              <w:rPr>
                <w:sz w:val="20"/>
              </w:rPr>
            </w:pPr>
            <w:r>
              <w:rPr>
                <w:sz w:val="20"/>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宋明珠</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181" w:type="dxa"/>
            <w:gridSpan w:val="2"/>
            <w:vAlign w:val="center"/>
          </w:tcPr>
          <w:p>
            <w:pPr>
              <w:jc w:val="center"/>
              <w:rPr>
                <w:sz w:val="20"/>
              </w:rPr>
            </w:pPr>
            <w:r>
              <w:rPr>
                <w:sz w:val="20"/>
              </w:rPr>
              <w:t>Q:审核员</w:t>
            </w:r>
          </w:p>
          <w:p>
            <w:pPr>
              <w:jc w:val="center"/>
              <w:rPr>
                <w:sz w:val="20"/>
              </w:rPr>
            </w:pPr>
            <w:r>
              <w:rPr>
                <w:sz w:val="20"/>
              </w:rPr>
              <w:t>E:审核员</w:t>
            </w:r>
          </w:p>
        </w:tc>
        <w:tc>
          <w:tcPr>
            <w:tcW w:w="3530" w:type="dxa"/>
            <w:gridSpan w:val="7"/>
            <w:vAlign w:val="center"/>
          </w:tcPr>
          <w:p>
            <w:pPr>
              <w:jc w:val="center"/>
              <w:rPr>
                <w:sz w:val="20"/>
              </w:rPr>
            </w:pPr>
            <w:r>
              <w:rPr>
                <w:sz w:val="20"/>
              </w:rPr>
              <w:t>E:34.01.02</w:t>
            </w:r>
          </w:p>
        </w:tc>
        <w:tc>
          <w:tcPr>
            <w:tcW w:w="1384" w:type="dxa"/>
            <w:gridSpan w:val="3"/>
            <w:vAlign w:val="center"/>
          </w:tcPr>
          <w:p>
            <w:pPr>
              <w:jc w:val="center"/>
              <w:rPr>
                <w:sz w:val="20"/>
              </w:rPr>
            </w:pPr>
            <w:r>
              <w:rPr>
                <w:sz w:val="20"/>
              </w:rPr>
              <w:t>15101755070</w:t>
            </w:r>
          </w:p>
        </w:tc>
        <w:tc>
          <w:tcPr>
            <w:tcW w:w="1141" w:type="dxa"/>
            <w:vAlign w:val="center"/>
          </w:tcPr>
          <w:p>
            <w:pPr>
              <w:jc w:val="center"/>
              <w:rPr>
                <w:sz w:val="20"/>
              </w:rPr>
            </w:pPr>
            <w:r>
              <w:rPr>
                <w:sz w:val="20"/>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181" w:type="dxa"/>
            <w:gridSpan w:val="2"/>
            <w:vAlign w:val="center"/>
          </w:tcPr>
          <w:p>
            <w:pPr>
              <w:rPr>
                <w:sz w:val="20"/>
              </w:rPr>
            </w:pPr>
          </w:p>
        </w:tc>
        <w:tc>
          <w:tcPr>
            <w:tcW w:w="3530" w:type="dxa"/>
            <w:gridSpan w:val="7"/>
            <w:vAlign w:val="center"/>
          </w:tcPr>
          <w:p>
            <w:pPr>
              <w:rPr>
                <w:sz w:val="20"/>
              </w:rPr>
            </w:pPr>
          </w:p>
        </w:tc>
        <w:tc>
          <w:tcPr>
            <w:tcW w:w="1384" w:type="dxa"/>
            <w:gridSpan w:val="3"/>
            <w:vAlign w:val="center"/>
          </w:tcPr>
          <w:p>
            <w:pPr>
              <w:rPr>
                <w:sz w:val="20"/>
              </w:rPr>
            </w:pPr>
          </w:p>
        </w:tc>
        <w:tc>
          <w:tcPr>
            <w:tcW w:w="1141"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r>
              <w:rPr>
                <w:rFonts w:hint="eastAsia"/>
                <w:b/>
                <w:sz w:val="22"/>
                <w:szCs w:val="22"/>
              </w:rPr>
              <w:drawing>
                <wp:anchor distT="0" distB="0" distL="114300" distR="114300" simplePos="0" relativeHeight="251661312" behindDoc="0" locked="0" layoutInCell="1" allowOverlap="1">
                  <wp:simplePos x="0" y="0"/>
                  <wp:positionH relativeFrom="column">
                    <wp:posOffset>259715</wp:posOffset>
                  </wp:positionH>
                  <wp:positionV relativeFrom="paragraph">
                    <wp:posOffset>9525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13983696917</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2021.6.25</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r>
              <w:rPr>
                <w:rFonts w:hint="eastAsia"/>
                <w:sz w:val="20"/>
                <w:lang w:val="en-US" w:eastAsia="zh-CN"/>
              </w:rPr>
              <w:t>2021.6.25</w:t>
            </w:r>
          </w:p>
        </w:tc>
        <w:tc>
          <w:tcPr>
            <w:tcW w:w="1418" w:type="dxa"/>
            <w:gridSpan w:val="3"/>
            <w:vAlign w:val="center"/>
          </w:tcPr>
          <w:p>
            <w:pPr>
              <w:rPr>
                <w:sz w:val="20"/>
              </w:rPr>
            </w:pPr>
            <w:r>
              <w:rPr>
                <w:rFonts w:hint="eastAsia"/>
                <w:sz w:val="20"/>
              </w:rPr>
              <w:t>日期</w:t>
            </w:r>
          </w:p>
        </w:tc>
        <w:tc>
          <w:tcPr>
            <w:tcW w:w="2599" w:type="dxa"/>
            <w:gridSpan w:val="5"/>
            <w:vAlign w:val="center"/>
          </w:tcPr>
          <w:p/>
        </w:tc>
      </w:tr>
    </w:tbl>
    <w:p>
      <w:pPr>
        <w:spacing w:line="300" w:lineRule="exact"/>
        <w:rPr>
          <w:rFonts w:hint="eastAsia" w:ascii="宋体" w:hAnsi="宋体" w:eastAsia="宋体"/>
          <w:b/>
          <w:bCs/>
          <w:sz w:val="30"/>
          <w:szCs w:val="30"/>
          <w:lang w:val="en-US" w:eastAsia="zh-CN"/>
        </w:rPr>
      </w:pPr>
      <w:r>
        <w:rPr>
          <w:rFonts w:hint="eastAsia" w:ascii="宋体" w:hAnsi="宋体"/>
          <w:b/>
          <w:bCs/>
          <w:sz w:val="30"/>
          <w:szCs w:val="30"/>
          <w:lang w:val="en-US" w:eastAsia="zh-CN"/>
        </w:rPr>
        <w:t>附表：</w:t>
      </w:r>
    </w:p>
    <w:tbl>
      <w:tblPr>
        <w:tblStyle w:val="5"/>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
        <w:gridCol w:w="1355"/>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436"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7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354" w:type="dxa"/>
            <w:gridSpan w:val="2"/>
            <w:vMerge w:val="restart"/>
            <w:tcBorders>
              <w:left w:val="single" w:color="auto" w:sz="8" w:space="0"/>
            </w:tcBorders>
            <w:vAlign w:val="center"/>
          </w:tcPr>
          <w:p>
            <w:pPr>
              <w:snapToGrid w:val="0"/>
              <w:spacing w:line="240" w:lineRule="auto"/>
              <w:jc w:val="center"/>
              <w:rPr>
                <w:rFonts w:hint="eastAsia" w:ascii="宋体" w:hAnsi="宋体" w:eastAsia="宋体" w:cs="新宋体"/>
                <w:b w:val="0"/>
                <w:bCs w:val="0"/>
                <w:sz w:val="18"/>
                <w:szCs w:val="18"/>
                <w:lang w:val="en-US" w:eastAsia="zh-CN"/>
              </w:rPr>
            </w:pPr>
            <w:r>
              <w:rPr>
                <w:rFonts w:hint="eastAsia" w:ascii="宋体" w:hAnsi="宋体" w:eastAsia="宋体" w:cs="新宋体"/>
                <w:b w:val="0"/>
                <w:bCs w:val="0"/>
                <w:sz w:val="18"/>
                <w:szCs w:val="18"/>
                <w:lang w:val="en-US" w:eastAsia="zh-CN"/>
              </w:rPr>
              <w:t>6</w:t>
            </w:r>
          </w:p>
          <w:p>
            <w:pPr>
              <w:snapToGrid w:val="0"/>
              <w:spacing w:line="240" w:lineRule="auto"/>
              <w:jc w:val="center"/>
              <w:rPr>
                <w:rFonts w:hint="eastAsia" w:ascii="宋体" w:hAnsi="宋体" w:eastAsia="宋体" w:cs="新宋体"/>
                <w:b w:val="0"/>
                <w:bCs w:val="0"/>
                <w:sz w:val="18"/>
                <w:szCs w:val="18"/>
              </w:rPr>
            </w:pPr>
            <w:r>
              <w:rPr>
                <w:rFonts w:hint="eastAsia" w:ascii="宋体" w:hAnsi="宋体" w:eastAsia="宋体" w:cs="新宋体"/>
                <w:b w:val="0"/>
                <w:bCs w:val="0"/>
                <w:sz w:val="18"/>
                <w:szCs w:val="18"/>
              </w:rPr>
              <w:t>月</w:t>
            </w:r>
          </w:p>
          <w:p>
            <w:pPr>
              <w:snapToGrid w:val="0"/>
              <w:spacing w:line="240" w:lineRule="auto"/>
              <w:jc w:val="center"/>
              <w:rPr>
                <w:rFonts w:hint="eastAsia" w:ascii="宋体" w:hAnsi="宋体" w:eastAsia="宋体" w:cs="新宋体"/>
                <w:b w:val="0"/>
                <w:bCs w:val="0"/>
                <w:sz w:val="18"/>
                <w:szCs w:val="18"/>
                <w:lang w:val="en-US" w:eastAsia="zh-CN"/>
              </w:rPr>
            </w:pPr>
            <w:r>
              <w:rPr>
                <w:rFonts w:hint="eastAsia" w:ascii="宋体" w:hAnsi="宋体" w:eastAsia="宋体" w:cs="新宋体"/>
                <w:b w:val="0"/>
                <w:bCs w:val="0"/>
                <w:sz w:val="18"/>
                <w:szCs w:val="18"/>
                <w:lang w:val="en-US" w:eastAsia="zh-CN"/>
              </w:rPr>
              <w:t>28</w:t>
            </w:r>
          </w:p>
          <w:p>
            <w:pPr>
              <w:snapToGrid w:val="0"/>
              <w:spacing w:line="240" w:lineRule="auto"/>
              <w:jc w:val="center"/>
              <w:rPr>
                <w:rFonts w:hint="eastAsia" w:ascii="宋体" w:hAnsi="宋体" w:eastAsia="宋体" w:cs="新宋体"/>
                <w:b w:val="0"/>
                <w:bCs w:val="0"/>
                <w:sz w:val="18"/>
                <w:szCs w:val="18"/>
              </w:rPr>
            </w:pPr>
            <w:r>
              <w:rPr>
                <w:rFonts w:hint="eastAsia" w:ascii="宋体" w:hAnsi="宋体" w:eastAsia="宋体" w:cs="新宋体"/>
                <w:b w:val="0"/>
                <w:bCs w:val="0"/>
                <w:sz w:val="18"/>
                <w:szCs w:val="18"/>
              </w:rPr>
              <w:t>日</w:t>
            </w:r>
          </w:p>
          <w:p>
            <w:pPr>
              <w:snapToGrid w:val="0"/>
              <w:spacing w:line="320" w:lineRule="exact"/>
              <w:jc w:val="center"/>
              <w:rPr>
                <w:rFonts w:ascii="宋体" w:hAnsi="宋体"/>
                <w:b w:val="0"/>
                <w:bCs w:val="0"/>
                <w:sz w:val="21"/>
                <w:szCs w:val="21"/>
              </w:rPr>
            </w:pPr>
          </w:p>
          <w:p>
            <w:pPr>
              <w:snapToGrid w:val="0"/>
              <w:spacing w:line="280" w:lineRule="exact"/>
              <w:jc w:val="center"/>
              <w:rPr>
                <w:rFonts w:ascii="宋体" w:hAnsi="宋体"/>
                <w:b w:val="0"/>
                <w:bCs w:val="0"/>
                <w:sz w:val="21"/>
                <w:szCs w:val="21"/>
              </w:rPr>
            </w:pPr>
          </w:p>
          <w:p>
            <w:pPr>
              <w:snapToGrid w:val="0"/>
              <w:spacing w:line="320" w:lineRule="exact"/>
              <w:jc w:val="center"/>
              <w:rPr>
                <w:rFonts w:ascii="宋体" w:hAnsi="宋体"/>
                <w:b w:val="0"/>
                <w:bCs w:val="0"/>
                <w:sz w:val="21"/>
                <w:szCs w:val="21"/>
              </w:rPr>
            </w:pPr>
          </w:p>
        </w:tc>
        <w:tc>
          <w:tcPr>
            <w:tcW w:w="1355" w:type="dxa"/>
            <w:tcBorders>
              <w:left w:val="single" w:color="auto" w:sz="8" w:space="0"/>
            </w:tcBorders>
            <w:vAlign w:val="center"/>
          </w:tcPr>
          <w:p>
            <w:pPr>
              <w:snapToGrid w:val="0"/>
              <w:spacing w:line="320" w:lineRule="exact"/>
              <w:jc w:val="center"/>
              <w:rPr>
                <w:rFonts w:hint="default" w:ascii="宋体" w:hAnsi="宋体" w:eastAsia="宋体" w:cs="新宋体"/>
                <w:b w:val="0"/>
                <w:bCs w:val="0"/>
                <w:sz w:val="18"/>
                <w:szCs w:val="18"/>
                <w:lang w:val="en-US" w:eastAsia="zh-CN"/>
              </w:rPr>
            </w:pPr>
            <w:r>
              <w:rPr>
                <w:rFonts w:hint="eastAsia" w:ascii="宋体" w:hAnsi="宋体" w:eastAsia="宋体" w:cs="新宋体"/>
                <w:b w:val="0"/>
                <w:bCs w:val="0"/>
                <w:sz w:val="18"/>
                <w:szCs w:val="18"/>
                <w:lang w:val="en-US" w:eastAsia="zh-CN"/>
              </w:rPr>
              <w:t>14：00-14：30</w:t>
            </w:r>
          </w:p>
        </w:tc>
        <w:tc>
          <w:tcPr>
            <w:tcW w:w="6662" w:type="dxa"/>
            <w:gridSpan w:val="2"/>
            <w:vAlign w:val="center"/>
          </w:tcPr>
          <w:p>
            <w:pPr>
              <w:rPr>
                <w:rFonts w:hint="eastAsia" w:ascii="宋体" w:hAnsi="宋体" w:eastAsia="宋体"/>
                <w:b w:val="0"/>
                <w:bCs w:val="0"/>
                <w:sz w:val="18"/>
                <w:lang w:eastAsia="zh-CN"/>
              </w:rPr>
            </w:pPr>
            <w:r>
              <w:rPr>
                <w:rFonts w:hint="eastAsia" w:ascii="宋体" w:hAnsi="宋体"/>
                <w:b w:val="0"/>
                <w:bCs w:val="0"/>
                <w:sz w:val="18"/>
              </w:rPr>
              <w:t>首次会议</w:t>
            </w:r>
          </w:p>
        </w:tc>
        <w:tc>
          <w:tcPr>
            <w:tcW w:w="1065" w:type="dxa"/>
            <w:tcBorders>
              <w:right w:val="single" w:color="auto" w:sz="8" w:space="0"/>
            </w:tcBorders>
            <w:vAlign w:val="center"/>
          </w:tcPr>
          <w:p>
            <w:pPr>
              <w:snapToGrid w:val="0"/>
              <w:spacing w:line="280" w:lineRule="exact"/>
              <w:jc w:val="center"/>
              <w:rPr>
                <w:rFonts w:ascii="宋体" w:hAnsi="宋体"/>
                <w:b w:val="0"/>
                <w:bCs w:val="0"/>
                <w:sz w:val="21"/>
                <w:szCs w:val="21"/>
              </w:rPr>
            </w:pPr>
            <w:r>
              <w:rPr>
                <w:rFonts w:hint="eastAsia" w:ascii="宋体" w:hAnsi="宋体"/>
                <w:b w:val="0"/>
                <w:bCs w:val="0"/>
                <w:sz w:val="18"/>
                <w:lang w:eastAsia="zh-CN"/>
              </w:rPr>
              <w:t>文平、余家龙、宋明珠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0" w:hRule="atLeast"/>
          <w:jc w:val="center"/>
        </w:trPr>
        <w:tc>
          <w:tcPr>
            <w:tcW w:w="1354" w:type="dxa"/>
            <w:gridSpan w:val="2"/>
            <w:vMerge w:val="continue"/>
            <w:tcBorders>
              <w:left w:val="single" w:color="auto" w:sz="8" w:space="0"/>
            </w:tcBorders>
            <w:vAlign w:val="center"/>
          </w:tcPr>
          <w:p>
            <w:pPr>
              <w:snapToGrid w:val="0"/>
              <w:spacing w:line="240" w:lineRule="auto"/>
              <w:jc w:val="center"/>
              <w:rPr>
                <w:rFonts w:ascii="宋体" w:hAnsi="宋体"/>
                <w:b w:val="0"/>
                <w:bCs w:val="0"/>
                <w:sz w:val="21"/>
                <w:szCs w:val="21"/>
              </w:rPr>
            </w:pPr>
          </w:p>
        </w:tc>
        <w:tc>
          <w:tcPr>
            <w:tcW w:w="1355" w:type="dxa"/>
            <w:tcBorders>
              <w:left w:val="single" w:color="auto" w:sz="8" w:space="0"/>
            </w:tcBorders>
            <w:vAlign w:val="center"/>
          </w:tcPr>
          <w:p>
            <w:pPr>
              <w:snapToGrid w:val="0"/>
              <w:spacing w:line="240" w:lineRule="auto"/>
              <w:jc w:val="center"/>
              <w:rPr>
                <w:rFonts w:ascii="宋体" w:hAnsi="宋体"/>
                <w:b w:val="0"/>
                <w:bCs w:val="0"/>
                <w:sz w:val="21"/>
                <w:szCs w:val="21"/>
              </w:rPr>
            </w:pPr>
            <w:r>
              <w:rPr>
                <w:rFonts w:hint="eastAsia" w:ascii="宋体" w:hAnsi="宋体" w:eastAsia="宋体" w:cs="新宋体"/>
                <w:b w:val="0"/>
                <w:bCs w:val="0"/>
                <w:sz w:val="18"/>
                <w:szCs w:val="18"/>
                <w:lang w:val="en-US" w:eastAsia="zh-CN"/>
              </w:rPr>
              <w:t>14：30-18：00</w:t>
            </w:r>
          </w:p>
        </w:tc>
        <w:tc>
          <w:tcPr>
            <w:tcW w:w="992" w:type="dxa"/>
          </w:tcPr>
          <w:p>
            <w:pPr>
              <w:spacing w:line="240" w:lineRule="auto"/>
              <w:rPr>
                <w:rFonts w:ascii="宋体" w:hAnsi="宋体"/>
                <w:b w:val="0"/>
                <w:bCs w:val="0"/>
                <w:sz w:val="21"/>
                <w:szCs w:val="21"/>
              </w:rPr>
            </w:pPr>
            <w:r>
              <w:rPr>
                <w:rFonts w:hint="eastAsia" w:ascii="宋体" w:hAnsi="宋体"/>
                <w:b w:val="0"/>
                <w:bCs w:val="0"/>
                <w:sz w:val="18"/>
              </w:rPr>
              <w:t>管理层</w:t>
            </w:r>
          </w:p>
        </w:tc>
        <w:tc>
          <w:tcPr>
            <w:tcW w:w="5670"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QMS-2015 宋明珠</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宋明珠</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hint="eastAsia" w:ascii="宋体" w:hAnsi="宋体" w:eastAsia="宋体" w:cs="新宋体"/>
                <w:sz w:val="18"/>
                <w:szCs w:val="18"/>
                <w:highlight w:val="none"/>
                <w:lang w:val="de-DE"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文平</w:t>
            </w:r>
          </w:p>
          <w:p>
            <w:pPr>
              <w:snapToGrid w:val="0"/>
              <w:spacing w:line="240" w:lineRule="exact"/>
              <w:rPr>
                <w:rFonts w:ascii="宋体" w:hAnsi="宋体" w:cs="新宋体"/>
                <w:b w:val="0"/>
                <w:bCs w:val="0"/>
                <w:sz w:val="18"/>
                <w:szCs w:val="18"/>
              </w:rPr>
            </w:pPr>
            <w:r>
              <w:rPr>
                <w:rFonts w:hint="eastAsia" w:ascii="宋体" w:hAnsi="宋体" w:eastAsia="宋体" w:cs="新宋体"/>
                <w:sz w:val="18"/>
                <w:szCs w:val="18"/>
                <w:highlight w:val="none"/>
                <w:lang w:val="en-US" w:eastAsia="zh-CN"/>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范围的确认、资质的确认、法律法规执行情况、质量抽查及顾客投诉情况。</w:t>
            </w:r>
          </w:p>
        </w:tc>
        <w:tc>
          <w:tcPr>
            <w:tcW w:w="1065" w:type="dxa"/>
            <w:tcBorders>
              <w:right w:val="single" w:color="auto" w:sz="8" w:space="0"/>
            </w:tcBorders>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eastAsia="zh-CN"/>
              </w:rPr>
              <w:t>文平、</w:t>
            </w:r>
            <w:r>
              <w:rPr>
                <w:rFonts w:hint="eastAsia" w:ascii="宋体" w:hAnsi="宋体"/>
                <w:b w:val="0"/>
                <w:bCs w:val="0"/>
                <w:sz w:val="18"/>
                <w:szCs w:val="18"/>
                <w:lang w:val="en-US"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0" w:hRule="atLeast"/>
          <w:jc w:val="center"/>
        </w:trPr>
        <w:tc>
          <w:tcPr>
            <w:tcW w:w="1354" w:type="dxa"/>
            <w:gridSpan w:val="2"/>
            <w:vMerge w:val="continue"/>
            <w:tcBorders>
              <w:left w:val="single" w:color="auto" w:sz="8" w:space="0"/>
            </w:tcBorders>
            <w:vAlign w:val="center"/>
          </w:tcPr>
          <w:p>
            <w:pPr>
              <w:snapToGrid w:val="0"/>
              <w:spacing w:line="320" w:lineRule="exact"/>
              <w:jc w:val="center"/>
              <w:rPr>
                <w:rFonts w:ascii="宋体" w:hAnsi="宋体"/>
                <w:b w:val="0"/>
                <w:bCs w:val="0"/>
                <w:sz w:val="21"/>
                <w:szCs w:val="21"/>
              </w:rPr>
            </w:pPr>
          </w:p>
        </w:tc>
        <w:tc>
          <w:tcPr>
            <w:tcW w:w="1355" w:type="dxa"/>
            <w:tcBorders>
              <w:left w:val="single" w:color="auto" w:sz="8" w:space="0"/>
            </w:tcBorders>
            <w:vAlign w:val="center"/>
          </w:tcPr>
          <w:p>
            <w:pPr>
              <w:snapToGrid w:val="0"/>
              <w:spacing w:line="320" w:lineRule="exact"/>
              <w:jc w:val="center"/>
              <w:rPr>
                <w:rFonts w:ascii="宋体" w:hAnsi="宋体"/>
                <w:b w:val="0"/>
                <w:bCs w:val="0"/>
                <w:sz w:val="21"/>
                <w:szCs w:val="21"/>
              </w:rPr>
            </w:pPr>
          </w:p>
        </w:tc>
        <w:tc>
          <w:tcPr>
            <w:tcW w:w="992" w:type="dxa"/>
          </w:tcPr>
          <w:p>
            <w:pPr>
              <w:spacing w:line="300" w:lineRule="exact"/>
              <w:rPr>
                <w:rFonts w:hint="eastAsia" w:ascii="宋体" w:hAnsi="宋体" w:eastAsia="宋体" w:cs="Times New Roman"/>
                <w:b w:val="0"/>
                <w:bCs w:val="0"/>
                <w:sz w:val="18"/>
                <w:lang w:eastAsia="zh-CN"/>
              </w:rPr>
            </w:pPr>
            <w:r>
              <w:rPr>
                <w:rFonts w:hint="eastAsia" w:ascii="宋体" w:hAnsi="宋体" w:eastAsia="宋体" w:cs="Times New Roman"/>
                <w:b w:val="0"/>
                <w:bCs w:val="0"/>
                <w:sz w:val="18"/>
                <w:lang w:eastAsia="zh-CN"/>
              </w:rPr>
              <w:t>行政部</w:t>
            </w:r>
          </w:p>
          <w:p>
            <w:pPr>
              <w:spacing w:line="240" w:lineRule="auto"/>
              <w:rPr>
                <w:rFonts w:hint="eastAsia" w:ascii="宋体" w:hAnsi="宋体"/>
                <w:b w:val="0"/>
                <w:bCs w:val="0"/>
                <w:sz w:val="18"/>
              </w:rPr>
            </w:pPr>
          </w:p>
        </w:tc>
        <w:tc>
          <w:tcPr>
            <w:tcW w:w="5670" w:type="dxa"/>
          </w:tcPr>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QMS-2015 余家龙</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5.3组织的角色、职责和权限；6.2质量目标及其实现的策划；7.1.2人员7.1.4过程运行环境7.2能力；7.3意识；7.4沟通；7.5文件化信息；10.2不符合和纠正措施</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余家龙</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6.1.3合规义务；6.2目标及其达成的策划；7.2能力；7.3意识；7.4沟通；7.5文件化信息；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6.1.2环境因素；8.1运行策划和控制；8.2应急准备和响应；</w:t>
            </w:r>
          </w:p>
          <w:p>
            <w:pPr>
              <w:snapToGrid w:val="0"/>
              <w:spacing w:line="240" w:lineRule="exact"/>
              <w:rPr>
                <w:rFonts w:hint="eastAsia"/>
                <w:b w:val="0"/>
                <w:bCs w:val="0"/>
                <w:sz w:val="20"/>
                <w:lang w:val="de-DE"/>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5.3组织的角色、职责和权限；6.1.2危险源辨识和职业安全风险评价；</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color="auto" w:sz="8" w:space="0"/>
            </w:tcBorders>
          </w:tcPr>
          <w:p>
            <w:pPr>
              <w:snapToGrid w:val="0"/>
              <w:spacing w:line="320" w:lineRule="exact"/>
              <w:rPr>
                <w:rFonts w:hint="eastAsia" w:ascii="宋体" w:hAnsi="宋体"/>
                <w:b w:val="0"/>
                <w:bCs w:val="0"/>
                <w:sz w:val="18"/>
                <w:szCs w:val="18"/>
                <w:lang w:eastAsia="zh-CN"/>
              </w:rPr>
            </w:pPr>
            <w:r>
              <w:rPr>
                <w:rFonts w:hint="eastAsia" w:ascii="宋体" w:hAnsi="宋体"/>
                <w:b w:val="0"/>
                <w:bCs w:val="0"/>
                <w:sz w:val="18"/>
                <w:szCs w:val="18"/>
                <w:lang w:eastAsia="zh-CN"/>
              </w:rPr>
              <w:t>余家龙、文平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jc w:val="center"/>
        </w:trPr>
        <w:tc>
          <w:tcPr>
            <w:tcW w:w="1354" w:type="dxa"/>
            <w:gridSpan w:val="2"/>
            <w:vMerge w:val="restart"/>
            <w:tcBorders>
              <w:left w:val="single" w:color="auto" w:sz="8" w:space="0"/>
            </w:tcBorders>
            <w:vAlign w:val="center"/>
          </w:tcPr>
          <w:p>
            <w:pPr>
              <w:snapToGrid w:val="0"/>
              <w:spacing w:line="240" w:lineRule="auto"/>
              <w:jc w:val="center"/>
              <w:rPr>
                <w:rFonts w:hint="eastAsia" w:ascii="宋体" w:hAnsi="宋体" w:eastAsia="宋体" w:cs="新宋体"/>
                <w:b w:val="0"/>
                <w:bCs w:val="0"/>
                <w:sz w:val="18"/>
                <w:szCs w:val="18"/>
                <w:lang w:val="en-US" w:eastAsia="zh-CN"/>
              </w:rPr>
            </w:pPr>
            <w:r>
              <w:rPr>
                <w:rFonts w:hint="eastAsia" w:ascii="宋体" w:hAnsi="宋体" w:eastAsia="宋体" w:cs="新宋体"/>
                <w:b w:val="0"/>
                <w:bCs w:val="0"/>
                <w:sz w:val="18"/>
                <w:szCs w:val="18"/>
                <w:lang w:val="en-US" w:eastAsia="zh-CN"/>
              </w:rPr>
              <w:t>6</w:t>
            </w:r>
          </w:p>
          <w:p>
            <w:pPr>
              <w:snapToGrid w:val="0"/>
              <w:spacing w:line="240" w:lineRule="auto"/>
              <w:jc w:val="center"/>
              <w:rPr>
                <w:rFonts w:hint="eastAsia" w:ascii="宋体" w:hAnsi="宋体" w:eastAsia="宋体" w:cs="新宋体"/>
                <w:b w:val="0"/>
                <w:bCs w:val="0"/>
                <w:sz w:val="18"/>
                <w:szCs w:val="18"/>
              </w:rPr>
            </w:pPr>
            <w:r>
              <w:rPr>
                <w:rFonts w:hint="eastAsia" w:ascii="宋体" w:hAnsi="宋体" w:eastAsia="宋体" w:cs="新宋体"/>
                <w:b w:val="0"/>
                <w:bCs w:val="0"/>
                <w:sz w:val="18"/>
                <w:szCs w:val="18"/>
              </w:rPr>
              <w:t>月</w:t>
            </w:r>
          </w:p>
          <w:p>
            <w:pPr>
              <w:snapToGrid w:val="0"/>
              <w:spacing w:line="240" w:lineRule="auto"/>
              <w:jc w:val="center"/>
              <w:rPr>
                <w:rFonts w:hint="default" w:ascii="宋体" w:hAnsi="宋体" w:eastAsia="宋体" w:cs="新宋体"/>
                <w:b w:val="0"/>
                <w:bCs w:val="0"/>
                <w:sz w:val="18"/>
                <w:szCs w:val="18"/>
                <w:lang w:val="en-US" w:eastAsia="zh-CN"/>
              </w:rPr>
            </w:pPr>
            <w:r>
              <w:rPr>
                <w:rFonts w:hint="eastAsia" w:ascii="宋体" w:hAnsi="宋体" w:eastAsia="宋体" w:cs="新宋体"/>
                <w:b w:val="0"/>
                <w:bCs w:val="0"/>
                <w:sz w:val="18"/>
                <w:szCs w:val="18"/>
                <w:lang w:val="en-US" w:eastAsia="zh-CN"/>
              </w:rPr>
              <w:t>29</w:t>
            </w:r>
          </w:p>
          <w:p>
            <w:pPr>
              <w:snapToGrid w:val="0"/>
              <w:spacing w:line="240" w:lineRule="auto"/>
              <w:jc w:val="center"/>
              <w:rPr>
                <w:rFonts w:hint="eastAsia" w:ascii="宋体" w:hAnsi="宋体" w:eastAsia="宋体" w:cs="新宋体"/>
                <w:b w:val="0"/>
                <w:bCs w:val="0"/>
                <w:sz w:val="18"/>
                <w:szCs w:val="18"/>
              </w:rPr>
            </w:pPr>
            <w:r>
              <w:rPr>
                <w:rFonts w:hint="eastAsia" w:ascii="宋体" w:hAnsi="宋体" w:eastAsia="宋体" w:cs="新宋体"/>
                <w:b w:val="0"/>
                <w:bCs w:val="0"/>
                <w:sz w:val="18"/>
                <w:szCs w:val="18"/>
              </w:rPr>
              <w:t>日</w:t>
            </w:r>
          </w:p>
          <w:p>
            <w:pPr>
              <w:snapToGrid w:val="0"/>
              <w:spacing w:line="320" w:lineRule="exact"/>
              <w:jc w:val="center"/>
              <w:rPr>
                <w:rFonts w:ascii="宋体" w:hAnsi="宋体"/>
                <w:b w:val="0"/>
                <w:bCs w:val="0"/>
                <w:sz w:val="21"/>
                <w:szCs w:val="21"/>
              </w:rPr>
            </w:pPr>
          </w:p>
        </w:tc>
        <w:tc>
          <w:tcPr>
            <w:tcW w:w="1355" w:type="dxa"/>
            <w:vMerge w:val="restart"/>
            <w:tcBorders>
              <w:left w:val="single" w:color="auto" w:sz="8" w:space="0"/>
            </w:tcBorders>
            <w:vAlign w:val="center"/>
          </w:tcPr>
          <w:p>
            <w:pPr>
              <w:snapToGrid w:val="0"/>
              <w:spacing w:line="320" w:lineRule="exact"/>
              <w:jc w:val="center"/>
              <w:rPr>
                <w:rFonts w:hint="eastAsia" w:ascii="宋体" w:hAnsi="宋体"/>
                <w:b w:val="0"/>
                <w:bCs w:val="0"/>
                <w:sz w:val="21"/>
                <w:szCs w:val="21"/>
                <w:lang w:val="en-US" w:eastAsia="zh-CN"/>
              </w:rPr>
            </w:pPr>
            <w:r>
              <w:rPr>
                <w:rFonts w:hint="eastAsia" w:ascii="宋体" w:hAnsi="宋体"/>
                <w:b w:val="0"/>
                <w:bCs w:val="0"/>
                <w:sz w:val="21"/>
                <w:szCs w:val="21"/>
                <w:lang w:val="en-US" w:eastAsia="zh-CN"/>
              </w:rPr>
              <w:t>8：00-16：30</w:t>
            </w:r>
          </w:p>
          <w:p>
            <w:pPr>
              <w:snapToGrid w:val="0"/>
              <w:spacing w:line="320" w:lineRule="exact"/>
              <w:jc w:val="center"/>
              <w:rPr>
                <w:rFonts w:hint="default" w:ascii="宋体" w:hAnsi="宋体"/>
                <w:b w:val="0"/>
                <w:bCs w:val="0"/>
                <w:sz w:val="21"/>
                <w:szCs w:val="21"/>
                <w:lang w:val="en-US" w:eastAsia="zh-CN"/>
              </w:rPr>
            </w:pPr>
            <w:r>
              <w:rPr>
                <w:rFonts w:hint="eastAsia" w:ascii="宋体" w:hAnsi="宋体"/>
                <w:b w:val="0"/>
                <w:bCs w:val="0"/>
                <w:sz w:val="21"/>
                <w:szCs w:val="21"/>
                <w:lang w:val="en-US" w:eastAsia="zh-CN"/>
              </w:rPr>
              <w:t>（12：00-13：00）午餐时间</w:t>
            </w:r>
          </w:p>
        </w:tc>
        <w:tc>
          <w:tcPr>
            <w:tcW w:w="992" w:type="dxa"/>
          </w:tcPr>
          <w:p>
            <w:pPr>
              <w:spacing w:line="240" w:lineRule="auto"/>
              <w:rPr>
                <w:rFonts w:hint="eastAsia" w:ascii="宋体" w:hAnsi="宋体" w:eastAsia="宋体"/>
                <w:b w:val="0"/>
                <w:bCs w:val="0"/>
                <w:sz w:val="18"/>
                <w:lang w:eastAsia="zh-CN"/>
              </w:rPr>
            </w:pPr>
            <w:r>
              <w:rPr>
                <w:rFonts w:hint="eastAsia" w:ascii="宋体" w:hAnsi="宋体"/>
                <w:b w:val="0"/>
                <w:bCs w:val="0"/>
                <w:sz w:val="18"/>
                <w:lang w:eastAsia="zh-CN"/>
              </w:rPr>
              <w:t>市场部</w:t>
            </w:r>
          </w:p>
        </w:tc>
        <w:tc>
          <w:tcPr>
            <w:tcW w:w="5670" w:type="dxa"/>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QMS-2015 余家龙</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5.3组织的角色、职责和权限；6.2质量目标及其实现的策划；7.4沟通；8.2产品和服务的要求；8.4外部提供供方的控制；9.1.2顾客满意；</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宋明珠</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5.3组织的角色、职责和权限；6.2目标及其达成的策划；7.4沟通；</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6.1.2环境因素；8.1运行策划和控制；8.2应急准备和响应；</w:t>
            </w:r>
          </w:p>
          <w:p>
            <w:pPr>
              <w:snapToGrid w:val="0"/>
              <w:spacing w:line="240" w:lineRule="exact"/>
              <w:rPr>
                <w:rFonts w:hint="eastAsia" w:ascii="宋体" w:hAnsi="宋体" w:eastAsia="宋体" w:cs="新宋体"/>
                <w:sz w:val="18"/>
                <w:szCs w:val="18"/>
                <w:highlight w:val="none"/>
                <w:lang w:val="en-US" w:eastAsia="zh-CN"/>
              </w:rPr>
            </w:pPr>
          </w:p>
          <w:p>
            <w:pPr>
              <w:snapToGrid w:val="0"/>
              <w:spacing w:line="240" w:lineRule="exact"/>
              <w:rPr>
                <w:rFonts w:ascii="宋体" w:hAnsi="宋体" w:cs="新宋体"/>
                <w:b w:val="0"/>
                <w:bCs w:val="0"/>
                <w:sz w:val="18"/>
                <w:szCs w:val="18"/>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5.3组织的角色、职责和权限；6.1.2危险源辨识和职业安全风险评价；6.2目标及其实现的策划；7.4信息和沟通；8.1运行策划和控制；8.2应急准备和响应；</w:t>
            </w:r>
          </w:p>
        </w:tc>
        <w:tc>
          <w:tcPr>
            <w:tcW w:w="1065" w:type="dxa"/>
            <w:tcBorders>
              <w:right w:val="single" w:color="auto" w:sz="8" w:space="0"/>
            </w:tcBorders>
          </w:tcPr>
          <w:p>
            <w:pPr>
              <w:snapToGrid w:val="0"/>
              <w:spacing w:line="320" w:lineRule="exact"/>
              <w:rPr>
                <w:rFonts w:hint="eastAsia" w:ascii="宋体" w:hAnsi="宋体"/>
                <w:b w:val="0"/>
                <w:bCs w:val="0"/>
                <w:sz w:val="18"/>
                <w:szCs w:val="18"/>
                <w:lang w:eastAsia="zh-CN"/>
              </w:rPr>
            </w:pPr>
            <w:r>
              <w:rPr>
                <w:rFonts w:hint="eastAsia" w:ascii="宋体" w:hAnsi="宋体"/>
                <w:b w:val="0"/>
                <w:bCs w:val="0"/>
                <w:sz w:val="18"/>
                <w:szCs w:val="18"/>
                <w:lang w:eastAsia="zh-CN"/>
              </w:rPr>
              <w:t>宋明珠、</w:t>
            </w:r>
            <w:r>
              <w:rPr>
                <w:rFonts w:hint="eastAsia" w:ascii="宋体" w:hAnsi="宋体"/>
                <w:b w:val="0"/>
                <w:bCs w:val="0"/>
                <w:sz w:val="18"/>
                <w:szCs w:val="18"/>
                <w:lang w:val="en-US" w:eastAsia="zh-CN"/>
              </w:rPr>
              <w:t>余家龙、</w:t>
            </w:r>
            <w:r>
              <w:rPr>
                <w:rFonts w:hint="eastAsia" w:ascii="宋体" w:hAnsi="宋体"/>
                <w:b w:val="0"/>
                <w:bCs w:val="0"/>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9" w:hRule="atLeast"/>
          <w:jc w:val="center"/>
        </w:trPr>
        <w:tc>
          <w:tcPr>
            <w:tcW w:w="1354" w:type="dxa"/>
            <w:gridSpan w:val="2"/>
            <w:vMerge w:val="continue"/>
            <w:tcBorders>
              <w:left w:val="single" w:color="auto" w:sz="8" w:space="0"/>
            </w:tcBorders>
            <w:vAlign w:val="center"/>
          </w:tcPr>
          <w:p>
            <w:pPr>
              <w:snapToGrid w:val="0"/>
              <w:spacing w:line="320" w:lineRule="exact"/>
              <w:rPr>
                <w:rFonts w:ascii="宋体" w:hAnsi="宋体"/>
                <w:b w:val="0"/>
                <w:bCs w:val="0"/>
                <w:sz w:val="21"/>
                <w:szCs w:val="21"/>
              </w:rPr>
            </w:pPr>
          </w:p>
        </w:tc>
        <w:tc>
          <w:tcPr>
            <w:tcW w:w="1355" w:type="dxa"/>
            <w:vMerge w:val="continue"/>
            <w:tcBorders>
              <w:left w:val="single" w:color="auto" w:sz="8" w:space="0"/>
            </w:tcBorders>
            <w:vAlign w:val="center"/>
          </w:tcPr>
          <w:p>
            <w:pPr>
              <w:snapToGrid w:val="0"/>
              <w:spacing w:line="320" w:lineRule="exact"/>
              <w:rPr>
                <w:rFonts w:ascii="宋体" w:hAnsi="宋体"/>
                <w:b w:val="0"/>
                <w:bCs w:val="0"/>
                <w:sz w:val="21"/>
                <w:szCs w:val="21"/>
              </w:rPr>
            </w:pPr>
          </w:p>
        </w:tc>
        <w:tc>
          <w:tcPr>
            <w:tcW w:w="992" w:type="dxa"/>
            <w:tcBorders>
              <w:right w:val="single" w:color="auto" w:sz="4" w:space="0"/>
            </w:tcBorders>
          </w:tcPr>
          <w:p>
            <w:pPr>
              <w:spacing w:line="300" w:lineRule="exact"/>
              <w:rPr>
                <w:rFonts w:hint="eastAsia" w:ascii="宋体" w:hAnsi="宋体" w:eastAsia="宋体" w:cs="Times New Roman"/>
                <w:b w:val="0"/>
                <w:bCs w:val="0"/>
                <w:sz w:val="18"/>
                <w:lang w:eastAsia="zh-CN"/>
              </w:rPr>
            </w:pPr>
            <w:r>
              <w:rPr>
                <w:rFonts w:hint="eastAsia" w:ascii="宋体" w:hAnsi="宋体" w:eastAsia="宋体" w:cs="Times New Roman"/>
                <w:b w:val="0"/>
                <w:bCs w:val="0"/>
                <w:sz w:val="18"/>
                <w:lang w:val="en-US" w:eastAsia="zh-CN"/>
              </w:rPr>
              <w:t>工程</w:t>
            </w:r>
            <w:bookmarkStart w:id="17" w:name="_GoBack"/>
            <w:bookmarkEnd w:id="17"/>
            <w:r>
              <w:rPr>
                <w:rFonts w:hint="eastAsia" w:ascii="宋体" w:hAnsi="宋体" w:eastAsia="宋体" w:cs="Times New Roman"/>
                <w:b w:val="0"/>
                <w:bCs w:val="0"/>
                <w:sz w:val="18"/>
                <w:lang w:eastAsia="zh-CN"/>
              </w:rPr>
              <w:t>技术部</w:t>
            </w:r>
          </w:p>
        </w:tc>
        <w:tc>
          <w:tcPr>
            <w:tcW w:w="5670" w:type="dxa"/>
            <w:tcBorders>
              <w:right w:val="single" w:color="auto" w:sz="4" w:space="0"/>
            </w:tcBorders>
          </w:tcPr>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QMS-2015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5.3组织的角色、职责和权限；6.2质量目标及其实现的策划；7.1.3基础设施；7.1.4过程运行环境；</w:t>
            </w:r>
            <w:r>
              <w:rPr>
                <w:rFonts w:hint="eastAsia" w:ascii="宋体" w:hAnsi="宋体" w:cs="新宋体"/>
                <w:b w:val="0"/>
                <w:bCs w:val="0"/>
                <w:sz w:val="18"/>
                <w:szCs w:val="18"/>
              </w:rPr>
              <w:t>7.1.5监视和测量资源</w:t>
            </w:r>
            <w:r>
              <w:rPr>
                <w:rFonts w:hint="eastAsia" w:ascii="宋体" w:hAnsi="宋体" w:cs="新宋体"/>
                <w:b w:val="0"/>
                <w:bCs w:val="0"/>
                <w:sz w:val="18"/>
                <w:szCs w:val="18"/>
                <w:lang w:eastAsia="zh-CN"/>
              </w:rPr>
              <w:t>；</w:t>
            </w:r>
            <w:r>
              <w:rPr>
                <w:rFonts w:hint="eastAsia" w:ascii="宋体" w:hAnsi="宋体" w:eastAsia="宋体" w:cs="新宋体"/>
                <w:sz w:val="18"/>
                <w:szCs w:val="18"/>
                <w:highlight w:val="none"/>
                <w:lang w:val="en-US" w:eastAsia="zh-CN"/>
              </w:rPr>
              <w:t>7.4沟通；</w:t>
            </w:r>
            <w:r>
              <w:rPr>
                <w:rFonts w:hint="eastAsia" w:ascii="宋体" w:hAnsi="宋体" w:cs="新宋体"/>
                <w:b w:val="0"/>
                <w:bCs w:val="0"/>
                <w:sz w:val="18"/>
                <w:szCs w:val="18"/>
              </w:rPr>
              <w:t>8.1运行策划和控制；8.3设计开发控制；8.5.1生产和服务提供的控制；</w:t>
            </w:r>
            <w:r>
              <w:rPr>
                <w:rFonts w:hint="eastAsia" w:ascii="宋体" w:hAnsi="宋体" w:eastAsia="宋体" w:cs="新宋体"/>
                <w:sz w:val="18"/>
                <w:szCs w:val="18"/>
                <w:highlight w:val="none"/>
                <w:lang w:val="en-US" w:eastAsia="zh-CN"/>
              </w:rPr>
              <w:t>8.5.2标识和可追溯性；8.5.3顾客或外部供方的财产；8.5.4防护；8.5.5交付后的活动；8.5.6更改控制；</w:t>
            </w:r>
            <w:r>
              <w:rPr>
                <w:rFonts w:hint="eastAsia" w:ascii="宋体" w:hAnsi="宋体" w:cs="新宋体"/>
                <w:b w:val="0"/>
                <w:bCs w:val="0"/>
                <w:sz w:val="18"/>
                <w:szCs w:val="18"/>
              </w:rPr>
              <w:t>8.6产品和服务放行；8.7不合格输出的控制；</w:t>
            </w:r>
          </w:p>
          <w:p>
            <w:pPr>
              <w:snapToGrid w:val="0"/>
              <w:spacing w:line="240" w:lineRule="exact"/>
              <w:rPr>
                <w:rFonts w:hint="eastAsia" w:ascii="宋体" w:hAnsi="宋体" w:cs="新宋体"/>
                <w:b w:val="0"/>
                <w:bCs w:val="0"/>
                <w:sz w:val="18"/>
                <w:szCs w:val="18"/>
              </w:rPr>
            </w:pPr>
          </w:p>
          <w:p>
            <w:pPr>
              <w:snapToGrid w:val="0"/>
              <w:spacing w:line="240" w:lineRule="exact"/>
              <w:rPr>
                <w:rFonts w:hint="eastAsia" w:ascii="宋体" w:hAnsi="宋体" w:eastAsia="宋体" w:cs="新宋体"/>
                <w:b w:val="0"/>
                <w:bCs w:val="0"/>
                <w:sz w:val="18"/>
                <w:szCs w:val="18"/>
                <w:lang w:eastAsia="zh-CN"/>
              </w:rPr>
            </w:pPr>
            <w:r>
              <w:rPr>
                <w:rFonts w:hint="eastAsia" w:ascii="宋体" w:hAnsi="宋体" w:eastAsia="宋体" w:cs="新宋体"/>
                <w:b w:val="0"/>
                <w:bCs w:val="0"/>
                <w:sz w:val="18"/>
                <w:szCs w:val="18"/>
              </w:rPr>
              <w:t xml:space="preserve">EMS-2015 </w:t>
            </w:r>
            <w:r>
              <w:rPr>
                <w:rFonts w:hint="eastAsia" w:ascii="宋体" w:hAnsi="宋体" w:cs="新宋体"/>
                <w:b w:val="0"/>
                <w:bCs w:val="0"/>
                <w:sz w:val="18"/>
                <w:szCs w:val="18"/>
                <w:lang w:val="en-US" w:eastAsia="zh-CN"/>
              </w:rPr>
              <w:t>余家龙</w:t>
            </w:r>
          </w:p>
          <w:p>
            <w:pPr>
              <w:snapToGrid w:val="0"/>
              <w:spacing w:line="240" w:lineRule="exact"/>
              <w:rPr>
                <w:rFonts w:hint="eastAsia" w:ascii="宋体" w:hAnsi="宋体" w:eastAsia="宋体" w:cs="新宋体"/>
                <w:b w:val="0"/>
                <w:bCs w:val="0"/>
                <w:sz w:val="18"/>
                <w:szCs w:val="18"/>
              </w:rPr>
            </w:pPr>
            <w:r>
              <w:rPr>
                <w:rFonts w:hint="eastAsia" w:ascii="宋体" w:hAnsi="宋体" w:eastAsia="宋体" w:cs="新宋体"/>
                <w:b w:val="0"/>
                <w:bCs w:val="0"/>
                <w:sz w:val="18"/>
                <w:szCs w:val="18"/>
              </w:rPr>
              <w:t>5.3组织的角色、职责和权限；6.2目标及其达成的策划</w:t>
            </w:r>
            <w:r>
              <w:rPr>
                <w:rFonts w:hint="eastAsia" w:ascii="宋体" w:hAnsi="宋体" w:eastAsia="宋体" w:cs="新宋体"/>
                <w:sz w:val="18"/>
                <w:szCs w:val="18"/>
                <w:highlight w:val="none"/>
                <w:lang w:val="en-US" w:eastAsia="zh-CN"/>
              </w:rPr>
              <w:t>；7.4沟通；</w:t>
            </w:r>
          </w:p>
          <w:p>
            <w:pPr>
              <w:snapToGrid w:val="0"/>
              <w:spacing w:line="240" w:lineRule="exact"/>
              <w:rPr>
                <w:rFonts w:hint="eastAsia" w:ascii="宋体" w:hAnsi="宋体" w:eastAsia="宋体" w:cs="新宋体"/>
                <w:b w:val="0"/>
                <w:bCs w:val="0"/>
                <w:sz w:val="18"/>
                <w:szCs w:val="18"/>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EMS-2015 文平</w:t>
            </w:r>
          </w:p>
          <w:p>
            <w:pPr>
              <w:snapToGrid w:val="0"/>
              <w:spacing w:line="240" w:lineRule="exact"/>
              <w:rPr>
                <w:rFonts w:hint="eastAsia" w:ascii="宋体" w:hAnsi="宋体" w:eastAsia="宋体" w:cs="新宋体"/>
                <w:sz w:val="18"/>
                <w:szCs w:val="18"/>
                <w:highlight w:val="none"/>
                <w:lang w:val="en-US" w:eastAsia="zh-CN"/>
              </w:rPr>
            </w:pPr>
            <w:r>
              <w:rPr>
                <w:rFonts w:hint="eastAsia" w:ascii="宋体" w:hAnsi="宋体" w:eastAsia="宋体" w:cs="新宋体"/>
                <w:sz w:val="18"/>
                <w:szCs w:val="18"/>
                <w:highlight w:val="none"/>
                <w:lang w:val="en-US" w:eastAsia="zh-CN"/>
              </w:rPr>
              <w:t>6.1.2环境因素；8.1运行策划和控制；8.2应急准备和响应；</w:t>
            </w:r>
          </w:p>
          <w:p>
            <w:pPr>
              <w:snapToGrid w:val="0"/>
              <w:spacing w:line="240" w:lineRule="exact"/>
              <w:rPr>
                <w:rFonts w:hint="eastAsia" w:ascii="宋体" w:hAnsi="宋体" w:eastAsia="宋体" w:cs="新宋体"/>
                <w:b w:val="0"/>
                <w:bCs w:val="0"/>
                <w:sz w:val="18"/>
                <w:szCs w:val="18"/>
              </w:rPr>
            </w:pPr>
          </w:p>
          <w:p>
            <w:pPr>
              <w:snapToGrid w:val="0"/>
              <w:spacing w:line="240" w:lineRule="exact"/>
              <w:rPr>
                <w:rFonts w:hint="eastAsia" w:ascii="宋体" w:hAnsi="宋体" w:eastAsia="宋体" w:cs="新宋体"/>
                <w:b w:val="0"/>
                <w:bCs w:val="0"/>
                <w:sz w:val="18"/>
                <w:szCs w:val="18"/>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eastAsia="宋体" w:cs="新宋体"/>
                <w:sz w:val="18"/>
                <w:szCs w:val="18"/>
                <w:highlight w:val="none"/>
                <w:lang w:val="de-DE" w:eastAsia="zh-CN"/>
              </w:rPr>
              <w:t>ISO 45001：2018</w:t>
            </w:r>
            <w:r>
              <w:rPr>
                <w:rFonts w:hint="eastAsia" w:ascii="宋体" w:hAnsi="宋体" w:eastAsia="宋体" w:cs="新宋体"/>
                <w:sz w:val="18"/>
                <w:szCs w:val="18"/>
                <w:highlight w:val="none"/>
                <w:lang w:val="en-US" w:eastAsia="zh-CN"/>
              </w:rPr>
              <w:t xml:space="preserve"> 文平</w:t>
            </w:r>
          </w:p>
          <w:p>
            <w:pPr>
              <w:snapToGrid w:val="0"/>
              <w:spacing w:line="240" w:lineRule="exact"/>
              <w:rPr>
                <w:rFonts w:hint="eastAsia"/>
                <w:lang w:val="en-US" w:eastAsia="zh-CN"/>
              </w:rPr>
            </w:pPr>
            <w:r>
              <w:rPr>
                <w:rFonts w:hint="eastAsia" w:ascii="宋体" w:hAnsi="宋体" w:eastAsia="宋体" w:cs="新宋体"/>
                <w:sz w:val="18"/>
                <w:szCs w:val="18"/>
                <w:highlight w:val="none"/>
                <w:lang w:val="en-US" w:eastAsia="zh-CN"/>
              </w:rPr>
              <w:t>5.3组织的角色、职责和权限；6.1.2危险源辨识和职业安全风险评价；6.2目标及其实现的策划；8.1运行策划和控制；8.2应急准备和响应；</w:t>
            </w:r>
          </w:p>
        </w:tc>
        <w:tc>
          <w:tcPr>
            <w:tcW w:w="1065" w:type="dxa"/>
            <w:tcBorders>
              <w:right w:val="single" w:color="auto" w:sz="8" w:space="0"/>
            </w:tcBorders>
          </w:tcPr>
          <w:p>
            <w:pPr>
              <w:snapToGrid w:val="0"/>
              <w:spacing w:line="320" w:lineRule="exact"/>
              <w:rPr>
                <w:rFonts w:hint="eastAsia" w:ascii="宋体" w:hAnsi="宋体"/>
                <w:b w:val="0"/>
                <w:bCs w:val="0"/>
                <w:sz w:val="18"/>
                <w:szCs w:val="18"/>
                <w:lang w:eastAsia="zh-CN"/>
              </w:rPr>
            </w:pPr>
            <w:r>
              <w:rPr>
                <w:rFonts w:hint="eastAsia" w:ascii="宋体" w:hAnsi="宋体"/>
                <w:b w:val="0"/>
                <w:bCs w:val="0"/>
                <w:sz w:val="18"/>
                <w:szCs w:val="18"/>
                <w:lang w:eastAsia="zh-CN"/>
              </w:rPr>
              <w:t>余家龙、文平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354" w:type="dxa"/>
            <w:gridSpan w:val="2"/>
            <w:vMerge w:val="continue"/>
            <w:tcBorders>
              <w:left w:val="single" w:color="auto" w:sz="8" w:space="0"/>
            </w:tcBorders>
          </w:tcPr>
          <w:p>
            <w:pPr>
              <w:snapToGrid w:val="0"/>
              <w:spacing w:line="320" w:lineRule="exact"/>
              <w:jc w:val="center"/>
              <w:rPr>
                <w:rFonts w:ascii="宋体" w:hAnsi="宋体"/>
                <w:b w:val="0"/>
                <w:bCs w:val="0"/>
                <w:sz w:val="21"/>
                <w:szCs w:val="21"/>
              </w:rPr>
            </w:pPr>
          </w:p>
        </w:tc>
        <w:tc>
          <w:tcPr>
            <w:tcW w:w="1355" w:type="dxa"/>
            <w:tcBorders>
              <w:left w:val="single" w:color="auto" w:sz="8" w:space="0"/>
            </w:tcBorders>
          </w:tcPr>
          <w:p>
            <w:pPr>
              <w:snapToGrid w:val="0"/>
              <w:spacing w:line="320" w:lineRule="exact"/>
              <w:jc w:val="center"/>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16：30-17：00</w:t>
            </w:r>
          </w:p>
        </w:tc>
        <w:tc>
          <w:tcPr>
            <w:tcW w:w="6662" w:type="dxa"/>
            <w:gridSpan w:val="2"/>
            <w:vAlign w:val="center"/>
          </w:tcPr>
          <w:p>
            <w:pPr>
              <w:snapToGrid w:val="0"/>
              <w:spacing w:line="240" w:lineRule="exact"/>
              <w:rPr>
                <w:rFonts w:ascii="宋体" w:hAnsi="宋体" w:cs="新宋体"/>
                <w:b w:val="0"/>
                <w:bCs w:val="0"/>
                <w:sz w:val="18"/>
                <w:szCs w:val="18"/>
              </w:rPr>
            </w:pPr>
            <w:r>
              <w:rPr>
                <w:rFonts w:hint="eastAsia" w:ascii="宋体" w:hAnsi="宋体" w:cs="新宋体"/>
                <w:b w:val="0"/>
                <w:bCs w:val="0"/>
                <w:sz w:val="21"/>
                <w:szCs w:val="21"/>
              </w:rPr>
              <w:t>末次会议</w:t>
            </w:r>
          </w:p>
        </w:tc>
        <w:tc>
          <w:tcPr>
            <w:tcW w:w="1065" w:type="dxa"/>
            <w:tcBorders>
              <w:right w:val="single" w:color="auto" w:sz="8" w:space="0"/>
            </w:tcBorders>
          </w:tcPr>
          <w:p>
            <w:pPr>
              <w:snapToGrid w:val="0"/>
              <w:spacing w:line="320" w:lineRule="exact"/>
              <w:rPr>
                <w:rFonts w:ascii="宋体" w:hAnsi="宋体"/>
                <w:b w:val="0"/>
                <w:bCs w:val="0"/>
                <w:sz w:val="21"/>
                <w:szCs w:val="21"/>
              </w:rPr>
            </w:pPr>
            <w:r>
              <w:rPr>
                <w:rFonts w:hint="eastAsia" w:ascii="宋体" w:hAnsi="宋体"/>
                <w:b w:val="0"/>
                <w:bCs w:val="0"/>
                <w:sz w:val="18"/>
                <w:lang w:eastAsia="zh-CN"/>
              </w:rPr>
              <w:t>文平、余家龙、宋明珠</w:t>
            </w:r>
          </w:p>
        </w:tc>
      </w:tr>
    </w:tbl>
    <w:p>
      <w:pPr>
        <w:spacing w:line="300" w:lineRule="exact"/>
        <w:rPr>
          <w:rFonts w:hint="eastAsia" w:ascii="宋体" w:hAnsi="宋体"/>
          <w:b/>
          <w:bCs/>
          <w:sz w:val="30"/>
          <w:szCs w:val="30"/>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3837FA"/>
    <w:rsid w:val="32740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2</TotalTime>
  <ScaleCrop>false</ScaleCrop>
  <LinksUpToDate>false</LinksUpToDate>
  <CharactersWithSpaces>1266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宋明珠</cp:lastModifiedBy>
  <dcterms:modified xsi:type="dcterms:W3CDTF">2021-06-28T03:52:25Z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2D22BF7F2B09488CA54FF1CD19E23915</vt:lpwstr>
  </property>
</Properties>
</file>