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西安浩木斯石油化工质量技术服务有限公司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0668-2021-QEO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郭智勇</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13907309268</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362559393@qq.com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r>
              <w:rPr>
                <w:rFonts w:hint="eastAsia"/>
                <w:sz w:val="21"/>
                <w:szCs w:val="21"/>
                <w:lang w:eastAsia="zh-CN"/>
              </w:rPr>
              <w:t>郭智勇</w:t>
            </w:r>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Q：资质范围内的设备监理服务</w:t>
            </w:r>
          </w:p>
          <w:p>
            <w:r>
              <w:t>E：资质范围内的设备监理服务所涉及场所的相关环境管理活动</w:t>
            </w:r>
          </w:p>
          <w:p>
            <w:r>
              <w:t>O：资质范围内的设备监理服务所涉及场所的相关职业健康安全管理活动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Q：34.01.02</w:t>
            </w:r>
          </w:p>
          <w:p>
            <w:r>
              <w:t>E：34.01.02</w:t>
            </w:r>
          </w:p>
          <w:p>
            <w:r>
              <w:t>O：34.01.02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Q：GB/T19001-2016/ISO9001:2015,E：GB/T 24001-2016/ISO14001:2015,O：GB/T45001-2020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2021年06月27日 上午至2021年06月27日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文平</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Q:34.01.02</w:t>
            </w:r>
          </w:p>
          <w:p>
            <w:pPr>
              <w:jc w:val="center"/>
              <w:rPr>
                <w:sz w:val="21"/>
                <w:szCs w:val="21"/>
              </w:rPr>
            </w:pPr>
            <w:r>
              <w:rPr>
                <w:sz w:val="21"/>
                <w:szCs w:val="21"/>
              </w:rPr>
              <w:t>E:34.01.02</w:t>
            </w:r>
          </w:p>
          <w:p>
            <w:pPr>
              <w:jc w:val="center"/>
              <w:rPr>
                <w:sz w:val="21"/>
                <w:szCs w:val="21"/>
              </w:rPr>
            </w:pPr>
            <w:r>
              <w:rPr>
                <w:sz w:val="21"/>
                <w:szCs w:val="21"/>
              </w:rPr>
              <w:t>O:34.01.02</w:t>
            </w:r>
          </w:p>
        </w:tc>
        <w:tc>
          <w:tcPr>
            <w:tcW w:w="1559" w:type="dxa"/>
            <w:gridSpan w:val="4"/>
            <w:vAlign w:val="center"/>
          </w:tcPr>
          <w:p>
            <w:pPr>
              <w:jc w:val="center"/>
              <w:rPr>
                <w:sz w:val="21"/>
                <w:szCs w:val="21"/>
              </w:rPr>
            </w:pPr>
            <w:r>
              <w:rPr>
                <w:sz w:val="21"/>
                <w:szCs w:val="21"/>
              </w:rPr>
              <w:t>13983696917</w:t>
            </w:r>
          </w:p>
        </w:tc>
        <w:tc>
          <w:tcPr>
            <w:tcW w:w="1229" w:type="dxa"/>
            <w:vAlign w:val="center"/>
          </w:tcPr>
          <w:p>
            <w:pPr>
              <w:jc w:val="center"/>
              <w:rPr>
                <w:sz w:val="21"/>
                <w:szCs w:val="21"/>
              </w:rPr>
            </w:pPr>
            <w:r>
              <w:rPr>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402" w:type="dxa"/>
            <w:gridSpan w:val="4"/>
            <w:vAlign w:val="center"/>
          </w:tcPr>
          <w:p/>
        </w:tc>
        <w:tc>
          <w:tcPr>
            <w:tcW w:w="1559" w:type="dxa"/>
            <w:gridSpan w:val="4"/>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311785</wp:posOffset>
                  </wp:positionH>
                  <wp:positionV relativeFrom="paragraph">
                    <wp:posOffset>7620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eastAsia" w:eastAsia="宋体"/>
                <w:sz w:val="21"/>
                <w:szCs w:val="21"/>
                <w:lang w:val="en-US" w:eastAsia="zh-CN"/>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r>
              <w:rPr>
                <w:sz w:val="21"/>
                <w:szCs w:val="21"/>
              </w:rPr>
              <w:t>13983696917</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2021.6.25</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r>
              <w:rPr>
                <w:rFonts w:hint="eastAsia"/>
                <w:sz w:val="21"/>
                <w:szCs w:val="21"/>
                <w:lang w:val="en-US" w:eastAsia="zh-CN"/>
              </w:rPr>
              <w:t>2021.6.25</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pacing w:line="300" w:lineRule="exact"/>
        <w:rPr>
          <w:b/>
          <w:color w:val="000000"/>
          <w:sz w:val="18"/>
          <w:szCs w:val="18"/>
        </w:rPr>
      </w:pPr>
      <w:r>
        <w:rPr>
          <w:rFonts w:hint="eastAsia" w:asciiTheme="minorEastAsia" w:hAnsiTheme="minorEastAsia" w:eastAsiaTheme="minorEastAsia"/>
          <w:sz w:val="32"/>
          <w:szCs w:val="32"/>
          <w:lang w:val="en-US" w:eastAsia="zh-CN"/>
        </w:rPr>
        <w:t>附表：</w:t>
      </w:r>
    </w:p>
    <w:tbl>
      <w:tblPr>
        <w:tblStyle w:val="5"/>
        <w:tblW w:w="10554"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9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554"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98"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9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298"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sz w:val="21"/>
                <w:szCs w:val="21"/>
                <w:lang w:val="en-US" w:eastAsia="zh-CN"/>
              </w:rPr>
              <w:t>2021.06.27</w:t>
            </w:r>
          </w:p>
        </w:tc>
        <w:tc>
          <w:tcPr>
            <w:tcW w:w="1395" w:type="dxa"/>
            <w:vAlign w:val="center"/>
          </w:tcPr>
          <w:p>
            <w:pPr>
              <w:snapToGrid w:val="0"/>
              <w:spacing w:line="280" w:lineRule="exact"/>
              <w:jc w:val="left"/>
              <w:rPr>
                <w:b/>
                <w:sz w:val="20"/>
              </w:rPr>
            </w:pPr>
            <w:r>
              <w:rPr>
                <w:rFonts w:hint="eastAsia"/>
                <w:b/>
                <w:sz w:val="20"/>
                <w:lang w:val="en-US" w:eastAsia="zh-CN"/>
              </w:rPr>
              <w:t>8</w:t>
            </w:r>
            <w:r>
              <w:rPr>
                <w:rFonts w:hint="eastAsia"/>
                <w:b/>
                <w:sz w:val="20"/>
              </w:rPr>
              <w:t>：00-</w:t>
            </w:r>
            <w:r>
              <w:rPr>
                <w:rFonts w:hint="eastAsia"/>
                <w:b/>
                <w:sz w:val="20"/>
                <w:lang w:val="en-US" w:eastAsia="zh-CN"/>
              </w:rPr>
              <w:t>8</w:t>
            </w:r>
            <w:r>
              <w:rPr>
                <w:rFonts w:hint="eastAsia"/>
                <w:b/>
                <w:sz w:val="20"/>
              </w:rPr>
              <w:t>:30</w:t>
            </w:r>
          </w:p>
        </w:tc>
        <w:tc>
          <w:tcPr>
            <w:tcW w:w="6665" w:type="dxa"/>
            <w:vAlign w:val="center"/>
          </w:tcPr>
          <w:p>
            <w:pPr>
              <w:snapToGrid w:val="0"/>
              <w:spacing w:line="280" w:lineRule="exact"/>
              <w:jc w:val="left"/>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7" w:hRule="atLeast"/>
        </w:trPr>
        <w:tc>
          <w:tcPr>
            <w:tcW w:w="1298" w:type="dxa"/>
            <w:vMerge w:val="continue"/>
            <w:tcBorders>
              <w:left w:val="single" w:color="auto" w:sz="8" w:space="0"/>
            </w:tcBorders>
            <w:vAlign w:val="center"/>
          </w:tcPr>
          <w:p>
            <w:pPr>
              <w:snapToGrid w:val="0"/>
              <w:spacing w:line="280" w:lineRule="exact"/>
              <w:jc w:val="left"/>
              <w:rPr>
                <w:b/>
                <w:sz w:val="20"/>
              </w:rPr>
            </w:pPr>
          </w:p>
        </w:tc>
        <w:tc>
          <w:tcPr>
            <w:tcW w:w="139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w:t>
            </w:r>
            <w:r>
              <w:rPr>
                <w:rFonts w:hint="eastAsia"/>
                <w:b/>
                <w:sz w:val="20"/>
              </w:rPr>
              <w:t>：30-1</w:t>
            </w:r>
            <w:r>
              <w:rPr>
                <w:rFonts w:hint="eastAsia"/>
                <w:b/>
                <w:sz w:val="20"/>
                <w:lang w:val="en-US" w:eastAsia="zh-CN"/>
              </w:rPr>
              <w:t>6</w:t>
            </w:r>
            <w:r>
              <w:rPr>
                <w:rFonts w:hint="eastAsia"/>
                <w:b/>
                <w:sz w:val="20"/>
              </w:rPr>
              <w:t>：</w:t>
            </w:r>
            <w:r>
              <w:rPr>
                <w:rFonts w:hint="eastAsia"/>
                <w:b/>
                <w:sz w:val="20"/>
                <w:lang w:val="en-US" w:eastAsia="zh-CN"/>
              </w:rPr>
              <w:t>3</w:t>
            </w:r>
            <w:r>
              <w:rPr>
                <w:rFonts w:hint="eastAsia"/>
                <w:b/>
                <w:sz w:val="20"/>
              </w:rPr>
              <w:t>0</w:t>
            </w:r>
            <w:r>
              <w:rPr>
                <w:rFonts w:hint="eastAsia"/>
                <w:b/>
                <w:sz w:val="20"/>
                <w:lang w:eastAsia="zh-CN"/>
              </w:rPr>
              <w:t>（</w:t>
            </w:r>
            <w:r>
              <w:rPr>
                <w:rFonts w:hint="eastAsia"/>
                <w:b/>
                <w:sz w:val="20"/>
                <w:lang w:val="en-US" w:eastAsia="zh-CN"/>
              </w:rPr>
              <w:t>12：00-13：00午餐）</w:t>
            </w:r>
          </w:p>
        </w:tc>
        <w:tc>
          <w:tcPr>
            <w:tcW w:w="6665" w:type="dxa"/>
            <w:vAlign w:val="center"/>
          </w:tcPr>
          <w:p>
            <w:pPr>
              <w:rPr>
                <w:sz w:val="21"/>
                <w:szCs w:val="21"/>
              </w:rPr>
            </w:pPr>
            <w:r>
              <w:rPr>
                <w:rFonts w:hint="eastAsia"/>
                <w:sz w:val="21"/>
                <w:szCs w:val="21"/>
              </w:rPr>
              <w:t xml:space="preserve">1.通过对受审核方的管理、设计现场巡视和观察，从总体上初步判断受审 核方的实际情况（包括实际的产品或服务类别、环境因素或危险源识别与控制、部门设置、资源状况等）与成文信息的一致性，为第二阶段审核的准备情况。 </w:t>
            </w:r>
          </w:p>
          <w:p>
            <w:pPr>
              <w:rPr>
                <w:sz w:val="21"/>
                <w:szCs w:val="21"/>
              </w:rPr>
            </w:pPr>
            <w:r>
              <w:rPr>
                <w:rFonts w:hint="eastAsia"/>
                <w:sz w:val="21"/>
                <w:szCs w:val="21"/>
              </w:rPr>
              <w:t>2. 对管理体系绩效要求有重大影响的过程、活动、场所和现场运行进行观察、巡视（对EMS还涉及周边环境、相关方）及总体性评价，初步确认与成文件息的一致性。</w:t>
            </w:r>
          </w:p>
          <w:p>
            <w:pPr>
              <w:rPr>
                <w:sz w:val="21"/>
                <w:szCs w:val="21"/>
              </w:rPr>
            </w:pPr>
            <w:r>
              <w:rPr>
                <w:rFonts w:hint="eastAsia"/>
                <w:sz w:val="21"/>
                <w:szCs w:val="21"/>
              </w:rPr>
              <w:t>3.评价所建立的管理体系文件与审核准则和认证要求的符合性</w:t>
            </w:r>
            <w:r>
              <w:rPr>
                <w:sz w:val="21"/>
                <w:szCs w:val="21"/>
              </w:rPr>
              <w:t>/</w:t>
            </w:r>
            <w:r>
              <w:rPr>
                <w:rFonts w:hint="eastAsia"/>
                <w:sz w:val="21"/>
                <w:szCs w:val="21"/>
              </w:rPr>
              <w:t>适宜性；</w:t>
            </w:r>
          </w:p>
          <w:p>
            <w:pPr>
              <w:rPr>
                <w:sz w:val="21"/>
                <w:szCs w:val="21"/>
              </w:rPr>
            </w:pPr>
            <w:r>
              <w:rPr>
                <w:rFonts w:hint="eastAsia"/>
                <w:sz w:val="21"/>
                <w:szCs w:val="21"/>
              </w:rPr>
              <w:t>4.了解、收集、确认和核实受审核方相关信息以及相关法律法规的执行情况</w:t>
            </w:r>
          </w:p>
          <w:p>
            <w:pPr>
              <w:rPr>
                <w:sz w:val="21"/>
                <w:szCs w:val="21"/>
              </w:rPr>
            </w:pPr>
            <w:r>
              <w:rPr>
                <w:rFonts w:hint="eastAsia"/>
                <w:sz w:val="21"/>
                <w:szCs w:val="21"/>
              </w:rPr>
              <w:t>（重点是法律位证明文件、经营许可资质/资格、强制性标准执行情况）；</w:t>
            </w:r>
          </w:p>
          <w:p>
            <w:pPr>
              <w:rPr>
                <w:sz w:val="21"/>
                <w:szCs w:val="21"/>
              </w:rPr>
            </w:pPr>
            <w:r>
              <w:rPr>
                <w:rFonts w:hint="eastAsia"/>
                <w:sz w:val="21"/>
                <w:szCs w:val="21"/>
              </w:rPr>
              <w:t>5.了解、确认体系覆盖的活动内容和范围，删减的合理性，体系覆盖范围内有效人数、过程和场所，及其与成文信息的一致性；</w:t>
            </w:r>
          </w:p>
          <w:p>
            <w:pPr>
              <w:rPr>
                <w:sz w:val="21"/>
                <w:szCs w:val="21"/>
              </w:rPr>
            </w:pPr>
            <w:r>
              <w:rPr>
                <w:rFonts w:hint="eastAsia"/>
                <w:sz w:val="21"/>
                <w:szCs w:val="21"/>
              </w:rPr>
              <w:t>6.确认方针、目标的制定与实施状况；</w:t>
            </w:r>
          </w:p>
          <w:p>
            <w:pPr>
              <w:rPr>
                <w:sz w:val="21"/>
                <w:szCs w:val="21"/>
              </w:rPr>
            </w:pPr>
            <w:r>
              <w:rPr>
                <w:rFonts w:hint="eastAsia"/>
                <w:sz w:val="21"/>
                <w:szCs w:val="21"/>
              </w:rPr>
              <w:t>7.确认内审和管理评审策划情况及实施情况，确认体系运是否已运行并超过3个月，确认管理体系实施程度，能否证明已为第二阶段审核做好了准备，并确定第二阶段审核的时间和路线；</w:t>
            </w:r>
          </w:p>
          <w:p>
            <w:pPr>
              <w:rPr>
                <w:sz w:val="21"/>
                <w:szCs w:val="21"/>
              </w:rPr>
            </w:pPr>
            <w:r>
              <w:rPr>
                <w:rFonts w:hint="eastAsia"/>
                <w:sz w:val="21"/>
                <w:szCs w:val="21"/>
              </w:rPr>
              <w:t>8.了解为第二阶段审核所需资源的配置情况；</w:t>
            </w:r>
          </w:p>
          <w:p>
            <w:pPr>
              <w:rPr>
                <w:color w:val="000000" w:themeColor="text1"/>
                <w:sz w:val="21"/>
                <w:szCs w:val="21"/>
              </w:rPr>
            </w:pPr>
            <w:r>
              <w:rPr>
                <w:rFonts w:hint="eastAsia"/>
                <w:sz w:val="21"/>
                <w:szCs w:val="21"/>
                <w:lang w:val="en-US" w:eastAsia="zh-CN"/>
              </w:rPr>
              <w:t>9</w:t>
            </w:r>
            <w:r>
              <w:rPr>
                <w:rFonts w:hint="eastAsia"/>
                <w:sz w:val="21"/>
                <w:szCs w:val="21"/>
              </w:rPr>
              <w:t>.了解确认受审核方的过程（包括关键过程、特殊过程）识别及控制状况。确认受审核方针对这些过程策划建立了哪些文件、记录。确认相关</w:t>
            </w:r>
            <w:r>
              <w:rPr>
                <w:rFonts w:hint="eastAsia"/>
                <w:color w:val="000000" w:themeColor="text1"/>
                <w:sz w:val="21"/>
                <w:szCs w:val="21"/>
              </w:rPr>
              <w:t>的部门设置、职能划分、生产或服务过程的识与别制的合理性，及其与成文信息的一致性。确认环境因素、危险源的识别、评价和控制情况，并与受审核方共同确认对上述过程、重要环境因素、重要危险源识别的充分性、适宜性和控制的合理性，管理方案的建立情况。</w:t>
            </w:r>
          </w:p>
          <w:p>
            <w:pPr>
              <w:rPr>
                <w:color w:val="000000" w:themeColor="text1"/>
                <w:sz w:val="21"/>
                <w:szCs w:val="21"/>
              </w:rPr>
            </w:pPr>
            <w:r>
              <w:rPr>
                <w:rFonts w:hint="eastAsia"/>
                <w:color w:val="000000" w:themeColor="text1"/>
                <w:sz w:val="21"/>
                <w:szCs w:val="21"/>
                <w:lang w:val="en-US" w:eastAsia="zh-CN"/>
              </w:rPr>
              <w:t>10</w:t>
            </w:r>
            <w:r>
              <w:rPr>
                <w:rFonts w:hint="eastAsia"/>
                <w:color w:val="000000" w:themeColor="text1"/>
                <w:sz w:val="21"/>
                <w:szCs w:val="21"/>
              </w:rPr>
              <w:t>.适用法律法规、技术标准识别的充分性，收集合规性的证据。</w:t>
            </w:r>
          </w:p>
          <w:p>
            <w:pPr>
              <w:rPr>
                <w:color w:val="000000" w:themeColor="text1"/>
                <w:sz w:val="21"/>
                <w:szCs w:val="21"/>
              </w:rPr>
            </w:pPr>
            <w:r>
              <w:rPr>
                <w:rFonts w:hint="eastAsia"/>
                <w:color w:val="000000" w:themeColor="text1"/>
                <w:sz w:val="21"/>
                <w:szCs w:val="21"/>
                <w:lang w:val="en-US" w:eastAsia="zh-CN"/>
              </w:rPr>
              <w:t>11</w:t>
            </w:r>
            <w:r>
              <w:rPr>
                <w:rFonts w:hint="eastAsia"/>
                <w:color w:val="000000" w:themeColor="text1"/>
                <w:sz w:val="21"/>
                <w:szCs w:val="21"/>
              </w:rPr>
              <w:t>.</w:t>
            </w:r>
            <w:r>
              <w:rPr>
                <w:color w:val="000000" w:themeColor="text1"/>
                <w:sz w:val="21"/>
                <w:szCs w:val="21"/>
              </w:rPr>
              <w:t>对生产设备、环保设备、特种设备及监视测量设备的现场巡视了解</w:t>
            </w:r>
            <w:r>
              <w:rPr>
                <w:rFonts w:hint="eastAsia"/>
                <w:color w:val="000000" w:themeColor="text1"/>
                <w:sz w:val="21"/>
                <w:szCs w:val="21"/>
              </w:rPr>
              <w:t>和确认。</w:t>
            </w:r>
          </w:p>
          <w:p>
            <w:pPr>
              <w:rPr>
                <w:sz w:val="21"/>
                <w:szCs w:val="21"/>
              </w:rPr>
            </w:pPr>
            <w:r>
              <w:rPr>
                <w:rFonts w:hint="eastAsia"/>
                <w:color w:val="000000" w:themeColor="text1"/>
                <w:sz w:val="21"/>
                <w:szCs w:val="21"/>
                <w:lang w:val="en-US" w:eastAsia="zh-CN"/>
              </w:rPr>
              <w:t>12</w:t>
            </w:r>
            <w:r>
              <w:rPr>
                <w:rFonts w:hint="eastAsia"/>
                <w:color w:val="000000" w:themeColor="text1"/>
                <w:sz w:val="21"/>
                <w:szCs w:val="21"/>
              </w:rPr>
              <w:t>.</w:t>
            </w:r>
            <w:r>
              <w:rPr>
                <w:color w:val="000000" w:themeColor="text1"/>
                <w:sz w:val="21"/>
                <w:szCs w:val="21"/>
              </w:rPr>
              <w:t>了解对合规性及应急预案等情况的</w:t>
            </w:r>
            <w:r>
              <w:rPr>
                <w:rFonts w:hint="eastAsia"/>
                <w:color w:val="000000" w:themeColor="text1"/>
                <w:sz w:val="21"/>
                <w:szCs w:val="21"/>
              </w:rPr>
              <w:t>执行</w:t>
            </w:r>
            <w:r>
              <w:rPr>
                <w:color w:val="000000" w:themeColor="text1"/>
                <w:sz w:val="21"/>
                <w:szCs w:val="21"/>
              </w:rPr>
              <w:t>。</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1298" w:type="dxa"/>
            <w:vMerge w:val="continue"/>
            <w:tcBorders>
              <w:left w:val="single" w:color="auto" w:sz="8" w:space="0"/>
            </w:tcBorders>
            <w:vAlign w:val="center"/>
          </w:tcPr>
          <w:p>
            <w:pPr>
              <w:snapToGrid w:val="0"/>
              <w:spacing w:line="280" w:lineRule="exact"/>
              <w:jc w:val="left"/>
              <w:rPr>
                <w:b/>
                <w:sz w:val="20"/>
              </w:rPr>
            </w:pPr>
          </w:p>
        </w:tc>
        <w:tc>
          <w:tcPr>
            <w:tcW w:w="1395" w:type="dxa"/>
            <w:vAlign w:val="center"/>
          </w:tcPr>
          <w:p>
            <w:pPr>
              <w:snapToGrid w:val="0"/>
              <w:spacing w:line="280" w:lineRule="exact"/>
              <w:jc w:val="left"/>
              <w:rPr>
                <w:b/>
                <w:sz w:val="20"/>
              </w:rPr>
            </w:pPr>
            <w:r>
              <w:rPr>
                <w:rFonts w:hint="eastAsia"/>
                <w:b/>
                <w:sz w:val="20"/>
              </w:rPr>
              <w:t>1</w:t>
            </w:r>
            <w:r>
              <w:rPr>
                <w:rFonts w:hint="eastAsia"/>
                <w:b/>
                <w:sz w:val="20"/>
                <w:lang w:val="en-US" w:eastAsia="zh-CN"/>
              </w:rPr>
              <w:t>6</w:t>
            </w:r>
            <w:r>
              <w:rPr>
                <w:rFonts w:hint="eastAsia"/>
                <w:b/>
                <w:sz w:val="20"/>
              </w:rPr>
              <w:t>：30-1</w:t>
            </w:r>
            <w:r>
              <w:rPr>
                <w:rFonts w:hint="eastAsia"/>
                <w:b/>
                <w:sz w:val="20"/>
                <w:lang w:val="en-US" w:eastAsia="zh-CN"/>
              </w:rPr>
              <w:t>7</w:t>
            </w:r>
            <w:r>
              <w:rPr>
                <w:rFonts w:hint="eastAsia"/>
                <w:b/>
                <w:sz w:val="20"/>
              </w:rPr>
              <w:t>：00</w:t>
            </w:r>
          </w:p>
        </w:tc>
        <w:tc>
          <w:tcPr>
            <w:tcW w:w="6665" w:type="dxa"/>
            <w:vAlign w:val="center"/>
          </w:tcPr>
          <w:p>
            <w:pPr>
              <w:snapToGrid w:val="0"/>
              <w:spacing w:line="280" w:lineRule="exact"/>
              <w:jc w:val="left"/>
              <w:rPr>
                <w:b/>
                <w:sz w:val="20"/>
              </w:rPr>
            </w:pPr>
            <w:r>
              <w:rPr>
                <w:rFonts w:hint="eastAsia" w:ascii="宋体" w:hAnsi="宋体"/>
                <w:b/>
                <w:bCs/>
                <w:sz w:val="21"/>
                <w:szCs w:val="21"/>
              </w:rPr>
              <w:t>末次会议</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文平</w:t>
            </w:r>
            <w:bookmarkStart w:id="14" w:name="_GoBack"/>
            <w:bookmarkEnd w:id="14"/>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3C7B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5</TotalTime>
  <ScaleCrop>false</ScaleCrop>
  <LinksUpToDate>false</LinksUpToDate>
  <CharactersWithSpaces>1267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宋明珠</cp:lastModifiedBy>
  <cp:lastPrinted>2019-03-27T03:10:00Z</cp:lastPrinted>
  <dcterms:modified xsi:type="dcterms:W3CDTF">2021-06-25T07:59:21Z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632478BEDAFD4487B4F8CB8FCC143D35</vt:lpwstr>
  </property>
</Properties>
</file>