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0667-2021-Q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陕西地建物业管理有限责任公司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赵茜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陕西地建物业管理有限责任公司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西安市莲湖区光泰路7号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西安市莲湖区光泰路7号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李香凝</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13389207092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贾娜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贾娜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652404365@qq.com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物业管理服务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部门：管理层、综合管理部、物业管理部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办公区域、物业服务区域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公司部门设置：管理层、综合管理部、物业管理部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客户的场所：西安市莲湖区光泰路7号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受审核方位于：西安市莲湖区光泰路7号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中华人民共和国物业管理条例、物业服务收费管理办法、陕西省住宅小区物业服务指导标准、陕西省物业管理条例、西安市物业管理条例、住宅室内装饰装修工程质量验收规范、前期物业管理招标投标管理暂行办法、城市供水水质管理规定、机动车停放服务收费管理办法、普通住宅小区物业管理服务等级标准、物业服务企业资质管理办法、陕西省物业管理收费管理办法、关于陕西省物业服务收费管理办法的补充通知、关于印发《陕西省住宅小区物业服务指导标准》的通知、变配电室安全管理规范、服务标准化工作指南、商业服务业顾客满意度测评规范□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sym w:font="Wingdings 2" w:char="00A3"/>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签订合同--派遣人员--物业服务--客户反馈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物业服务过程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物业作业指导书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物业服务过程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外包过程有：化粪池清掏、电梯维保、垃圾清运、空调维保、水箱清洗服务过程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主要设备：办公所用的电脑和打印机，保洁使用的清洁工具、工程使用的维修工具：万用表、扳手、钳子等、安保秩序使用的安全警戒设备：警棍、盾牌、应急手电筒等</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rPr>
              <w:sym w:font="Wingdings 2" w:char="00A3"/>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重点审核部门：管理层、综合管理部、物业管理部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物业服务过程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物业作业区域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400" w:lineRule="exact"/>
              <w:rPr>
                <w:rFonts w:hint="eastAsia"/>
                <w:szCs w:val="21"/>
              </w:rPr>
            </w:pPr>
            <w:r>
              <w:rPr>
                <w:rFonts w:hint="eastAsia"/>
                <w:szCs w:val="21"/>
              </w:rPr>
              <w:t>内审时间：20</w:t>
            </w:r>
            <w:r>
              <w:rPr>
                <w:rFonts w:hint="eastAsia"/>
                <w:szCs w:val="21"/>
                <w:lang w:val="en-US" w:eastAsia="zh-CN"/>
              </w:rPr>
              <w:t>21年6月1日-2日</w:t>
            </w:r>
            <w:r>
              <w:rPr>
                <w:rFonts w:hint="eastAsia"/>
                <w:szCs w:val="21"/>
              </w:rPr>
              <w:t xml:space="preserve">      </w:t>
            </w:r>
          </w:p>
          <w:p>
            <w:pPr>
              <w:spacing w:line="360" w:lineRule="auto"/>
              <w:rPr>
                <w:rFonts w:ascii="宋体"/>
                <w:b/>
                <w:color w:val="000000"/>
                <w:sz w:val="20"/>
                <w:szCs w:val="20"/>
              </w:rPr>
            </w:pPr>
            <w:r>
              <w:rPr>
                <w:rFonts w:hint="eastAsia"/>
                <w:szCs w:val="21"/>
              </w:rPr>
              <w:t>审核组长：时吉贺    组员：李香凝</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21</w:t>
            </w:r>
            <w:r>
              <w:rPr>
                <w:rFonts w:hint="eastAsia" w:ascii="宋体" w:hAnsi="宋体"/>
                <w:kern w:val="0"/>
                <w:sz w:val="21"/>
                <w:szCs w:val="21"/>
                <w:lang w:eastAsia="zh-CN"/>
              </w:rPr>
              <w:t>年</w:t>
            </w:r>
            <w:r>
              <w:rPr>
                <w:rFonts w:hint="eastAsia" w:ascii="宋体" w:hAnsi="宋体"/>
                <w:kern w:val="0"/>
                <w:sz w:val="21"/>
                <w:szCs w:val="21"/>
                <w:lang w:val="en-US" w:eastAsia="zh-CN"/>
              </w:rPr>
              <w:t>6</w:t>
            </w:r>
            <w:r>
              <w:rPr>
                <w:rFonts w:hint="eastAsia" w:ascii="宋体" w:hAnsi="宋体"/>
                <w:kern w:val="0"/>
                <w:sz w:val="21"/>
                <w:szCs w:val="21"/>
                <w:lang w:eastAsia="zh-CN"/>
              </w:rPr>
              <w:t>月</w:t>
            </w:r>
            <w:r>
              <w:rPr>
                <w:rFonts w:hint="eastAsia" w:ascii="宋体" w:hAnsi="宋体"/>
                <w:kern w:val="0"/>
                <w:sz w:val="21"/>
                <w:szCs w:val="21"/>
                <w:lang w:val="en-US" w:eastAsia="zh-CN"/>
              </w:rPr>
              <w:t>18</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范围无变化见初定的管理体系认证范围：物业管理服务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260350</wp:posOffset>
            </wp:positionV>
            <wp:extent cx="702310" cy="58293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702310" cy="58293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drawing>
          <wp:anchor distT="0" distB="0" distL="114300" distR="114300" simplePos="0" relativeHeight="251660288" behindDoc="1" locked="0" layoutInCell="1" allowOverlap="1">
            <wp:simplePos x="0" y="0"/>
            <wp:positionH relativeFrom="column">
              <wp:posOffset>1734820</wp:posOffset>
            </wp:positionH>
            <wp:positionV relativeFrom="paragraph">
              <wp:posOffset>83185</wp:posOffset>
            </wp:positionV>
            <wp:extent cx="609600" cy="317500"/>
            <wp:effectExtent l="0" t="0" r="0" b="0"/>
            <wp:wrapNone/>
            <wp:docPr id="3" name="图片 3" descr="赵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赵茜"/>
                    <pic:cNvPicPr>
                      <a:picLocks noChangeAspect="1"/>
                    </pic:cNvPicPr>
                  </pic:nvPicPr>
                  <pic:blipFill>
                    <a:blip r:embed="rId7"/>
                    <a:stretch>
                      <a:fillRect/>
                    </a:stretch>
                  </pic:blipFill>
                  <pic:spPr>
                    <a:xfrm>
                      <a:off x="0" y="0"/>
                      <a:ext cx="609600" cy="3175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bookmarkStart w:id="24" w:name="_GoBack"/>
      <w:bookmarkEnd w:id="24"/>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6238D"/>
    <w:rsid w:val="054C36B4"/>
    <w:rsid w:val="057B0557"/>
    <w:rsid w:val="092C4403"/>
    <w:rsid w:val="0E8A4FDC"/>
    <w:rsid w:val="133554AE"/>
    <w:rsid w:val="20D044C8"/>
    <w:rsid w:val="286371FD"/>
    <w:rsid w:val="2A342FCA"/>
    <w:rsid w:val="3E682B8C"/>
    <w:rsid w:val="4970098C"/>
    <w:rsid w:val="4DA056F8"/>
    <w:rsid w:val="6C074BF8"/>
    <w:rsid w:val="703F19C3"/>
    <w:rsid w:val="723A41FB"/>
    <w:rsid w:val="7CF63044"/>
    <w:rsid w:val="7FCF67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2021-07-07T01:28:16Z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080532D60FF84978831A0B361E48F8BC</vt:lpwstr>
  </property>
</Properties>
</file>