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石家庄荣达文化传播有限公司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GB/T28001-2011</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0181-2019-QEO-2021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21"/>
                <w:szCs w:val="21"/>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刘红杰</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5B5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2021-07-05T01:31:18Z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BAFBD522238F48AEA4924D90CB3850F5</vt:lpwstr>
  </property>
</Properties>
</file>