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石家庄荣达文化传播有限公司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计算机信息系统集成服务：客户项目意向—项目设计（需要时）—制定施工方案—采购项目设备—（综合布线）—设备安装—系统测试—交付使用—售后服务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销售服务：业务洽谈—下单/签订合同—产品采购—发货至顾客指定地点—验收—结算—售后服务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/>
                <w:b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725170</wp:posOffset>
                  </wp:positionV>
                  <wp:extent cx="975360" cy="46990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635</wp:posOffset>
            </wp:positionV>
            <wp:extent cx="975360" cy="469900"/>
            <wp:effectExtent l="0" t="0" r="0" b="0"/>
            <wp:wrapNone/>
            <wp:docPr id="2" name="图片 2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2021.7.5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2021.7.5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7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2021-07-05T01:38:40Z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5B92079D10054F1E82F004DF349B4E20</vt:lpwstr>
  </property>
</Properties>
</file>