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浙江泰福泵业股份有限公司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年在能源品种没有变化的情况下，确定的能耗目标为：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单位产品综合能耗 1.55kgce / 台   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（此目标的建立基准是2020年10-12月实际完成值）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但未将公司能源目标自上而下进行有效分解。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n: 6.2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公司已经购买5块电表，下次注意观察企业电表安装和运行情况。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En6.6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FF"/>
                <w:szCs w:val="22"/>
                <w:lang w:val="en-US" w:eastAsia="zh-CN"/>
              </w:rPr>
              <w:t>未对主要耗能设备的能耗情况进行测试。——问题项</w:t>
            </w:r>
          </w:p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C5B"/>
    <w:rsid w:val="00B03C5B"/>
    <w:rsid w:val="00BB4204"/>
    <w:rsid w:val="00F82D99"/>
    <w:rsid w:val="74FB7200"/>
    <w:rsid w:val="793C4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2021-07-04T01:52:39Z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2F96C7AD026E4E70806940FE8727DC40</vt:lpwstr>
  </property>
</Properties>
</file>