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永清县美华电子废弃物处理服务中心</w:t>
      </w:r>
      <w:bookmarkEnd w:id="1"/>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 xml:space="preserve">Yongqing Meihua electronic waste </w:t>
      </w:r>
      <w:r>
        <w:rPr>
          <w:rFonts w:hint="eastAsia"/>
          <w:sz w:val="22"/>
          <w:szCs w:val="15"/>
        </w:rPr>
        <w:t>Processing</w:t>
      </w:r>
      <w:r>
        <w:rPr>
          <w:rFonts w:hint="eastAsia"/>
          <w:b w:val="0"/>
          <w:bCs/>
          <w:color w:val="000000" w:themeColor="text1"/>
          <w:sz w:val="22"/>
          <w:szCs w:val="22"/>
        </w:rPr>
        <w:t xml:space="preserve"> service center</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永清县刘街乡渠头村</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065600</w:t>
      </w:r>
      <w:bookmarkEnd w:id="4"/>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(英文)：Qutou village, LiuJie Township, Yongqing County</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永清县刘街乡渠头村</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065600</w:t>
      </w:r>
      <w:bookmarkEnd w:id="6"/>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(英文)：Qutou village, LiuJie Township, Yongqing County</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911310237158148331</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18230163816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4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赵万忠</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张玉良</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Q：电子废弃物的收集、贮存、利用（限许可范围内）</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E：电子废弃物的收集、贮存、利用（限许可范围内）所涉及场所的相关环境管理活动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O：电子废弃物的收集、贮存、利用（限许可范围内）所涉及场所的相关职业健康安全管理活动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lang w:eastAsia="zh-CN"/>
        </w:rPr>
        <w:t>☑</w:t>
      </w:r>
      <w:r>
        <w:rPr>
          <w:rFonts w:hint="eastAsia"/>
          <w:b w:val="0"/>
          <w:bCs/>
          <w:color w:val="000000" w:themeColor="text1"/>
          <w:sz w:val="22"/>
          <w:szCs w:val="22"/>
        </w:rPr>
        <w:t>QMS（英文）：Collection, storage and utilization of electronic waste</w:t>
      </w:r>
      <w:r>
        <w:rPr>
          <w:rFonts w:hint="eastAsia"/>
          <w:b w:val="0"/>
          <w:bCs/>
          <w:color w:val="000000" w:themeColor="text1"/>
          <w:sz w:val="22"/>
          <w:szCs w:val="22"/>
          <w:lang w:val="en-US" w:eastAsia="zh-CN"/>
        </w:rPr>
        <w:t xml:space="preserve"> </w:t>
      </w:r>
      <w:r>
        <w:rPr>
          <w:rFonts w:hint="eastAsia"/>
          <w:b w:val="0"/>
          <w:bCs/>
          <w:color w:val="000000" w:themeColor="text1"/>
          <w:sz w:val="22"/>
          <w:szCs w:val="22"/>
        </w:rPr>
        <w:t>(within the permitted scope)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collection, storage and utilization of electronic waste (within the permitted scope)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 of the places involved in the collection, storage and utilization of electronic wastes (within the scope of the permission)</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F68CF"/>
    <w:rsid w:val="307A2216"/>
    <w:rsid w:val="4EB00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 你又何必呢？</cp:lastModifiedBy>
  <cp:lastPrinted>2019-05-13T03:13:00Z</cp:lastPrinted>
  <dcterms:modified xsi:type="dcterms:W3CDTF">2021-07-14T02:06:12Z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3A0BD66B8337403F80E3B9F2006CAD00</vt:lpwstr>
  </property>
</Properties>
</file>