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浙江鼎强电气科技有限公司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5"/>
          <w:rFonts w:hint="eastAsia" w:ascii="楷体" w:hAnsi="楷体" w:eastAsia="楷体"/>
          <w:b/>
          <w:sz w:val="36"/>
          <w:szCs w:val="36"/>
        </w:rPr>
        <w:t>www.china-isc.org.cn</w:t>
      </w:r>
      <w:r>
        <w:fldChar w:fldCharType="end"/>
      </w: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2"/>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石帆</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方小娥</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r>
              <w:rPr>
                <w:b/>
                <w:color w:val="000000" w:themeColor="text1"/>
                <w:sz w:val="20"/>
                <w:szCs w:val="20"/>
              </w:rPr>
              <w:t>助理经理师</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Q:19.11.02</w:t>
            </w:r>
          </w:p>
          <w:p>
            <w:pPr>
              <w:spacing w:line="240" w:lineRule="exact"/>
              <w:jc w:val="center"/>
              <w:rPr>
                <w:b/>
                <w:color w:val="000000" w:themeColor="text1"/>
                <w:sz w:val="20"/>
                <w:szCs w:val="20"/>
              </w:rPr>
            </w:pPr>
            <w:r>
              <w:rPr>
                <w:b/>
                <w:color w:val="000000" w:themeColor="text1"/>
                <w:sz w:val="20"/>
                <w:szCs w:val="20"/>
              </w:rPr>
              <w:t>E:19.11.02</w:t>
            </w:r>
          </w:p>
          <w:p>
            <w:pPr>
              <w:spacing w:line="240" w:lineRule="exact"/>
              <w:jc w:val="center"/>
              <w:rPr>
                <w:b/>
                <w:color w:val="000000" w:themeColor="text1"/>
                <w:sz w:val="20"/>
                <w:szCs w:val="20"/>
              </w:rPr>
            </w:pPr>
            <w:r>
              <w:rPr>
                <w:b/>
                <w:color w:val="000000" w:themeColor="text1"/>
                <w:sz w:val="20"/>
                <w:szCs w:val="20"/>
              </w:rPr>
              <w:t>O:19.11.02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浙江鼎强电气科技有限公司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浙江省湖州市南浔区练市镇松亭村众安桥北堍</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313013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浙江省湖州市南浔区练市镇松亭村众安桥北堍</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313013</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潘强勇</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13905723931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张金方</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潘强勇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Q：漆包线的生产（资质许可范围内除外）</w:t>
            </w:r>
          </w:p>
          <w:p>
            <w:pPr>
              <w:spacing w:line="320" w:lineRule="exact"/>
              <w:rPr>
                <w:rFonts w:ascii="宋体" w:hAnsi="宋体"/>
                <w:b/>
                <w:color w:val="000000" w:themeColor="text1"/>
                <w:sz w:val="20"/>
                <w:szCs w:val="20"/>
              </w:rPr>
            </w:pPr>
            <w:r>
              <w:rPr>
                <w:rFonts w:ascii="宋体" w:hAnsi="宋体"/>
                <w:b/>
                <w:color w:val="000000" w:themeColor="text1"/>
                <w:sz w:val="20"/>
                <w:szCs w:val="20"/>
              </w:rPr>
              <w:t>E：漆包线的生产（资质许可范围内除外）所涉及场所的相关环境管理活动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O：漆包线的生产（资质许可范围内除外）所涉及场所的相关职业健康安全管理活动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Q：19.11.02</w:t>
            </w:r>
          </w:p>
          <w:p>
            <w:pPr>
              <w:spacing w:line="320" w:lineRule="exact"/>
              <w:rPr>
                <w:rFonts w:ascii="宋体" w:hAnsi="宋体"/>
                <w:b/>
                <w:color w:val="000000" w:themeColor="text1"/>
                <w:sz w:val="20"/>
                <w:szCs w:val="20"/>
              </w:rPr>
            </w:pPr>
            <w:r>
              <w:rPr>
                <w:rFonts w:ascii="宋体" w:hAnsi="宋体"/>
                <w:b/>
                <w:color w:val="000000" w:themeColor="text1"/>
                <w:sz w:val="20"/>
                <w:szCs w:val="20"/>
              </w:rPr>
              <w:t>E：19.11.02</w:t>
            </w:r>
          </w:p>
          <w:p>
            <w:pPr>
              <w:spacing w:line="320" w:lineRule="exact"/>
              <w:rPr>
                <w:rFonts w:ascii="宋体" w:hAnsi="宋体"/>
                <w:b/>
                <w:color w:val="000000" w:themeColor="text1"/>
                <w:sz w:val="20"/>
                <w:szCs w:val="20"/>
              </w:rPr>
            </w:pPr>
            <w:r>
              <w:rPr>
                <w:rFonts w:ascii="宋体" w:hAnsi="宋体"/>
                <w:b/>
                <w:color w:val="000000" w:themeColor="text1"/>
                <w:sz w:val="20"/>
                <w:szCs w:val="20"/>
              </w:rPr>
              <w:t>O：19.11.02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rPr>
              <w:t>高管层（含员工代表）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rPr>
              <w:t>供销部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采购过程、销售过程、客户满意相关等过程及相应环境、职业健康安全管理体系运行过程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cs="Times New Roman" w:eastAsiaTheme="minorEastAsia"/>
                <w:b/>
                <w:color w:val="000000" w:themeColor="text1"/>
                <w:kern w:val="2"/>
                <w:sz w:val="20"/>
                <w:szCs w:val="20"/>
                <w:lang w:val="en-US" w:eastAsia="zh-CN" w:bidi="ar-SA"/>
              </w:rPr>
            </w:pPr>
            <w:r>
              <w:rPr>
                <w:rFonts w:hint="eastAsia" w:cs="宋体" w:asciiTheme="minorEastAsia" w:hAnsiTheme="minorEastAsia" w:eastAsiaTheme="minorEastAsia"/>
                <w:sz w:val="20"/>
                <w:szCs w:val="20"/>
              </w:rPr>
              <w:t>生产部</w:t>
            </w:r>
            <w:r>
              <w:rPr>
                <w:rFonts w:hint="eastAsia" w:cs="宋体" w:asciiTheme="minorEastAsia" w:hAnsiTheme="minorEastAsia" w:eastAsiaTheme="minorEastAsia"/>
                <w:sz w:val="20"/>
                <w:szCs w:val="20"/>
                <w:lang w:val="en-US" w:eastAsia="zh-CN"/>
              </w:rPr>
              <w:t>/车间/仓库</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基础设施、过程环境、生产实现过程、产品和服务的要求、危险源辨识、风险评价和风险控制措施的确定、应急准备和响应及相应环境、职业健康安全管理体系运行过程控制；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lang w:val="en-US" w:eastAsia="zh-CN"/>
              </w:rPr>
              <w:t>技质</w:t>
            </w:r>
            <w:r>
              <w:rPr>
                <w:rFonts w:hint="eastAsia" w:cs="宋体" w:asciiTheme="minorEastAsia" w:hAnsiTheme="minorEastAsia" w:eastAsiaTheme="minorEastAsia"/>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不合格品的管控、监视和测量、纠正预防、改进、危险源辨识、风险评价和风险控制措施的确定、应急准备和响应及相应环境、职业健康安全管理体系运行过程控制；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ind w:firstLine="1200" w:firstLineChars="600"/>
              <w:jc w:val="left"/>
              <w:rPr>
                <w:rFonts w:hint="default" w:ascii="宋体" w:hAnsi="宋体" w:eastAsia="宋体" w:cs="Times New Roman"/>
                <w:b/>
                <w:color w:val="000000" w:themeColor="text1"/>
                <w:kern w:val="2"/>
                <w:sz w:val="21"/>
                <w:szCs w:val="21"/>
                <w:lang w:val="en-US" w:eastAsia="zh-CN" w:bidi="ar-SA"/>
              </w:rPr>
            </w:pPr>
            <w:r>
              <w:rPr>
                <w:rFonts w:hint="eastAsia" w:cs="宋体" w:asciiTheme="minorEastAsia" w:hAnsiTheme="minorEastAsia" w:eastAsiaTheme="minorEastAsia"/>
                <w:sz w:val="20"/>
                <w:szCs w:val="20"/>
                <w:lang w:val="en-US" w:eastAsia="zh-CN"/>
              </w:rPr>
              <w:t>办公室</w:t>
            </w:r>
          </w:p>
        </w:tc>
        <w:tc>
          <w:tcPr>
            <w:tcW w:w="6804" w:type="dxa"/>
            <w:vAlign w:val="top"/>
          </w:tcPr>
          <w:p>
            <w:pPr>
              <w:jc w:val="left"/>
              <w:rPr>
                <w:rFonts w:ascii="宋体" w:hAnsi="宋体" w:eastAsia="宋体" w:cs="Times New Roman"/>
                <w:b/>
                <w:color w:val="000000" w:themeColor="text1"/>
                <w:spacing w:val="-20"/>
                <w:kern w:val="2"/>
                <w:sz w:val="21"/>
                <w:szCs w:val="21"/>
                <w:u w:val="single"/>
                <w:lang w:val="en-US" w:eastAsia="zh-CN" w:bidi="ar-SA"/>
              </w:rPr>
            </w:pPr>
            <w:r>
              <w:rPr>
                <w:rFonts w:hint="eastAsia" w:cs="宋体" w:asciiTheme="minorEastAsia" w:hAnsiTheme="minorEastAsia" w:eastAsiaTheme="minorEastAsia"/>
                <w:sz w:val="20"/>
                <w:szCs w:val="20"/>
              </w:rPr>
              <w:t>人力资源管理过程；资源提供与管理过程控制；内外部信息交流过程；内审管理；内外部信息交流、等过程及相应环境、职业健康安全管理体系运行过程；</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3"/>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铜漆包圆线</w:t>
            </w:r>
          </w:p>
        </w:tc>
        <w:tc>
          <w:tcPr>
            <w:tcW w:w="2519" w:type="dxa"/>
          </w:tcPr>
          <w:p>
            <w:pPr>
              <w:rPr>
                <w:b/>
                <w:color w:val="000000" w:themeColor="text1"/>
                <w:sz w:val="20"/>
                <w:szCs w:val="20"/>
              </w:rPr>
            </w:pPr>
          </w:p>
        </w:tc>
        <w:tc>
          <w:tcPr>
            <w:tcW w:w="1843" w:type="dxa"/>
          </w:tcPr>
          <w:p>
            <w:pPr>
              <w:rPr>
                <w:rFonts w:hint="eastAsia" w:ascii="Times New Roman" w:hAnsi="Times New Roman" w:eastAsia="宋体" w:cs="Times New Roman"/>
                <w:b/>
                <w:color w:val="000000" w:themeColor="text1"/>
                <w:sz w:val="20"/>
                <w:szCs w:val="20"/>
                <w:lang w:val="en-US" w:eastAsia="zh-CN"/>
              </w:rPr>
            </w:pPr>
          </w:p>
        </w:tc>
        <w:tc>
          <w:tcPr>
            <w:tcW w:w="3543" w:type="dxa"/>
          </w:tcPr>
          <w:p>
            <w:pPr>
              <w:rPr>
                <w:rFonts w:hint="eastAsia" w:ascii="Times New Roman" w:hAnsi="Times New Roman" w:eastAsia="宋体" w:cs="Times New Roman"/>
                <w:b/>
                <w:color w:val="000000" w:themeColor="text1"/>
                <w:sz w:val="20"/>
                <w:szCs w:val="20"/>
                <w:lang w:val="en-US" w:eastAsia="zh-CN"/>
              </w:rPr>
            </w:pPr>
            <w:r>
              <w:rPr>
                <w:rFonts w:hint="eastAsia" w:ascii="Times New Roman" w:hAnsi="Times New Roman" w:eastAsia="宋体" w:cs="Times New Roman"/>
                <w:b/>
                <w:color w:val="000000" w:themeColor="text1"/>
                <w:sz w:val="20"/>
                <w:szCs w:val="20"/>
                <w:lang w:val="en-US" w:eastAsia="zh-CN"/>
              </w:rPr>
              <w:t>GB/T 6109-2008《漆包圆绕组》系列标准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22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asciiTheme="minorEastAsia" w:hAnsiTheme="minorEastAsia" w:eastAsiaTheme="minorEastAsia"/>
                <w:b/>
                <w:color w:val="000000"/>
                <w:sz w:val="20"/>
                <w:szCs w:val="20"/>
              </w:rPr>
            </w:pPr>
            <w:r>
              <w:rPr>
                <w:rFonts w:asciiTheme="minorEastAsia" w:hAnsiTheme="minorEastAsia" w:eastAsiaTheme="minorEastAsia"/>
                <w:b/>
                <w:color w:val="000000"/>
                <w:sz w:val="20"/>
                <w:szCs w:val="20"/>
              </w:rPr>
              <w:t>1</w:t>
            </w:r>
            <w:r>
              <w:rPr>
                <w:rFonts w:hint="eastAsia" w:asciiTheme="minorEastAsia" w:hAnsiTheme="minorEastAsia" w:eastAsiaTheme="minorEastAsia"/>
                <w:b/>
                <w:color w:val="000000"/>
                <w:sz w:val="20"/>
                <w:szCs w:val="20"/>
              </w:rPr>
              <w:t>、组织及其环境的识别情况</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rPr>
                <w:rFonts w:ascii="Times New Roman" w:hAnsi="Times New Roman"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rPr>
              <w:t>公司每年根据</w:t>
            </w:r>
            <w:r>
              <w:rPr>
                <w:rFonts w:hint="eastAsia" w:cs="宋体" w:asciiTheme="minorEastAsia" w:hAnsiTheme="minorEastAsia" w:eastAsiaTheme="minorEastAsia"/>
                <w:sz w:val="20"/>
                <w:szCs w:val="20"/>
                <w:lang w:val="en-US" w:eastAsia="zh-CN"/>
              </w:rPr>
              <w:t>公司的技术能力</w:t>
            </w:r>
            <w:r>
              <w:rPr>
                <w:rFonts w:hint="eastAsia" w:cs="宋体" w:asciiTheme="minorEastAsia" w:hAnsiTheme="minorEastAsia" w:eastAsiaTheme="minorEastAsia"/>
                <w:sz w:val="20"/>
                <w:szCs w:val="20"/>
              </w:rPr>
              <w:t>、客户</w:t>
            </w:r>
            <w:r>
              <w:rPr>
                <w:rFonts w:hint="eastAsia" w:cs="宋体" w:asciiTheme="minorEastAsia" w:hAnsiTheme="minorEastAsia" w:eastAsiaTheme="minorEastAsia"/>
                <w:sz w:val="20"/>
                <w:szCs w:val="20"/>
                <w:lang w:val="en-US" w:eastAsia="zh-CN"/>
              </w:rPr>
              <w:t>需求信息</w:t>
            </w:r>
            <w:r>
              <w:rPr>
                <w:rFonts w:hint="eastAsia" w:cs="宋体" w:asciiTheme="minorEastAsia" w:hAnsiTheme="minorEastAsia" w:eastAsiaTheme="minorEastAsia"/>
                <w:sz w:val="20"/>
                <w:szCs w:val="20"/>
              </w:rPr>
              <w:t>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rFonts w:asciiTheme="minorEastAsia" w:hAnsiTheme="minorEastAsia" w:eastAsiaTheme="minorEastAsia"/>
                <w:b/>
                <w:color w:val="000000"/>
                <w:sz w:val="20"/>
                <w:szCs w:val="20"/>
              </w:rPr>
            </w:pPr>
            <w:r>
              <w:rPr>
                <w:rFonts w:asciiTheme="minorEastAsia" w:hAnsiTheme="minorEastAsia" w:eastAsiaTheme="minorEastAsia"/>
                <w:b/>
                <w:color w:val="000000"/>
                <w:sz w:val="20"/>
                <w:szCs w:val="20"/>
              </w:rPr>
              <w:t>2</w:t>
            </w:r>
            <w:r>
              <w:rPr>
                <w:rFonts w:hint="eastAsia" w:asciiTheme="minorEastAsia" w:hAnsiTheme="minorEastAsia" w:eastAsiaTheme="minorEastAsia"/>
                <w:b/>
                <w:color w:val="000000"/>
                <w:sz w:val="20"/>
                <w:szCs w:val="20"/>
              </w:rPr>
              <w:t>、相关方需求和期望识别情况</w:t>
            </w:r>
          </w:p>
          <w:p>
            <w:pPr>
              <w:pStyle w:val="6"/>
              <w:ind w:firstLine="400" w:firstLineChars="20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rPr>
              <w:t>在公司运营过程中充分考虑相关方方面的期望或要求，识别的相关方有：</w:t>
            </w:r>
            <w:r>
              <w:rPr>
                <w:rFonts w:hint="eastAsia" w:asciiTheme="minorEastAsia" w:hAnsiTheme="minorEastAsia" w:eastAsiaTheme="minorEastAsia"/>
                <w:sz w:val="20"/>
                <w:szCs w:val="20"/>
              </w:rPr>
              <w:t>接收产品的顾客；对本公司活动进行监管的政府部门，如上级单位、</w:t>
            </w:r>
            <w:r>
              <w:rPr>
                <w:rFonts w:hint="eastAsia" w:asciiTheme="minorEastAsia" w:hAnsiTheme="minorEastAsia" w:eastAsiaTheme="minorEastAsia"/>
                <w:sz w:val="20"/>
                <w:szCs w:val="20"/>
                <w:lang w:val="en-US" w:eastAsia="zh-CN"/>
              </w:rPr>
              <w:t>市场监督管理</w:t>
            </w:r>
            <w:r>
              <w:rPr>
                <w:rFonts w:hint="eastAsia" w:asciiTheme="minorEastAsia" w:hAnsiTheme="minorEastAsia" w:eastAsiaTheme="minorEastAsia"/>
                <w:sz w:val="20"/>
                <w:szCs w:val="20"/>
              </w:rPr>
              <w:t>局；为本公司提供产品、服务和其它支持的供方及合作伙伴；为本公司服务的员工；其他受本公司活动影响的团体或个人。</w:t>
            </w:r>
          </w:p>
          <w:p>
            <w:pPr>
              <w:ind w:firstLine="300" w:firstLineChars="15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供</w:t>
            </w:r>
            <w:r>
              <w:rPr>
                <w:rFonts w:hint="eastAsia" w:cs="宋体" w:asciiTheme="minorEastAsia" w:hAnsiTheme="minorEastAsia" w:eastAsiaTheme="minorEastAsia"/>
                <w:sz w:val="20"/>
                <w:szCs w:val="20"/>
              </w:rPr>
              <w:t xml:space="preserve">销部门和相关职能部门通过日常例会、市场活动、现场拜访、产品展销会、客户调查等多种渠道和方式方法随时了解相关方的需求和期望。 </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 xml:space="preserve">与公司高管交流，内外部相关方需求分析到位。 </w:t>
            </w:r>
          </w:p>
          <w:p>
            <w:pPr>
              <w:rPr>
                <w:rFonts w:ascii="Times New Roman" w:hAnsi="Times New Roman"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Theme="minorEastAsia" w:hAnsiTheme="minorEastAsia" w:eastAsiaTheme="minorEastAsia"/>
                <w:b/>
                <w:color w:val="000000"/>
                <w:sz w:val="20"/>
                <w:szCs w:val="20"/>
              </w:rPr>
            </w:pPr>
            <w:r>
              <w:rPr>
                <w:rFonts w:asciiTheme="minorEastAsia" w:hAnsiTheme="minorEastAsia" w:eastAsiaTheme="minorEastAsia"/>
                <w:b/>
                <w:color w:val="000000"/>
                <w:sz w:val="20"/>
                <w:szCs w:val="20"/>
              </w:rPr>
              <w:t>3.</w:t>
            </w:r>
            <w:r>
              <w:rPr>
                <w:rFonts w:cs="宋体" w:asciiTheme="minorEastAsia" w:hAnsiTheme="minorEastAsia" w:eastAsiaTheme="minorEastAsia"/>
                <w:color w:val="000000"/>
                <w:kern w:val="0"/>
                <w:sz w:val="20"/>
                <w:szCs w:val="20"/>
              </w:rPr>
              <w:t xml:space="preserve"> </w:t>
            </w:r>
            <w:r>
              <w:rPr>
                <w:rFonts w:hint="eastAsia" w:cs="宋体" w:asciiTheme="minorEastAsia" w:hAnsiTheme="minorEastAsia" w:eastAsiaTheme="minorEastAsia"/>
                <w:color w:val="000000"/>
                <w:kern w:val="0"/>
                <w:sz w:val="20"/>
                <w:szCs w:val="20"/>
              </w:rPr>
              <w:t>■</w:t>
            </w:r>
            <w:r>
              <w:rPr>
                <w:rFonts w:hint="eastAsia" w:asciiTheme="minorEastAsia" w:hAnsiTheme="minorEastAsia" w:eastAsiaTheme="minorEastAsia"/>
                <w:b/>
                <w:color w:val="000000"/>
                <w:sz w:val="20"/>
                <w:szCs w:val="20"/>
              </w:rPr>
              <w:t>质量</w:t>
            </w:r>
            <w:r>
              <w:rPr>
                <w:rFonts w:asciiTheme="minorEastAsia" w:hAnsiTheme="minorEastAsia" w:eastAsiaTheme="minorEastAsia"/>
                <w:b/>
                <w:color w:val="000000"/>
                <w:sz w:val="20"/>
                <w:szCs w:val="20"/>
              </w:rPr>
              <w:t>/</w:t>
            </w:r>
            <w:r>
              <w:rPr>
                <w:rFonts w:hint="eastAsia" w:cs="宋体" w:asciiTheme="minorEastAsia" w:hAnsiTheme="minorEastAsia" w:eastAsiaTheme="minorEastAsia"/>
                <w:color w:val="000000"/>
                <w:kern w:val="0"/>
                <w:sz w:val="20"/>
                <w:szCs w:val="20"/>
              </w:rPr>
              <w:t>■</w:t>
            </w:r>
            <w:r>
              <w:rPr>
                <w:rFonts w:hint="eastAsia" w:asciiTheme="minorEastAsia" w:hAnsiTheme="minorEastAsia" w:eastAsiaTheme="minorEastAsia"/>
                <w:b/>
                <w:color w:val="000000"/>
                <w:sz w:val="20"/>
                <w:szCs w:val="20"/>
              </w:rPr>
              <w:t>环境</w:t>
            </w:r>
            <w:r>
              <w:rPr>
                <w:rFonts w:asciiTheme="minorEastAsia" w:hAnsiTheme="minorEastAsia" w:eastAsiaTheme="minorEastAsia"/>
                <w:b/>
                <w:color w:val="000000"/>
                <w:sz w:val="20"/>
                <w:szCs w:val="20"/>
              </w:rPr>
              <w:t>/</w:t>
            </w:r>
            <w:r>
              <w:rPr>
                <w:rFonts w:hint="eastAsia" w:cs="宋体" w:asciiTheme="minorEastAsia" w:hAnsiTheme="minorEastAsia" w:eastAsiaTheme="minorEastAsia"/>
                <w:color w:val="000000"/>
                <w:kern w:val="0"/>
                <w:sz w:val="20"/>
                <w:szCs w:val="20"/>
              </w:rPr>
              <w:t>■</w:t>
            </w:r>
            <w:r>
              <w:rPr>
                <w:rFonts w:hint="eastAsia" w:asciiTheme="minorEastAsia" w:hAnsiTheme="minorEastAsia" w:eastAsiaTheme="minorEastAsia"/>
                <w:b/>
                <w:color w:val="000000"/>
                <w:sz w:val="20"/>
                <w:szCs w:val="20"/>
              </w:rPr>
              <w:t>职业健康安全方针（组织方针的适宜性</w:t>
            </w:r>
            <w:r>
              <w:rPr>
                <w:rFonts w:asciiTheme="minorEastAsia" w:hAnsiTheme="minorEastAsia" w:eastAsiaTheme="minorEastAsia"/>
                <w:b/>
                <w:color w:val="000000"/>
                <w:sz w:val="20"/>
                <w:szCs w:val="20"/>
              </w:rPr>
              <w:t>/</w:t>
            </w:r>
            <w:r>
              <w:rPr>
                <w:rFonts w:hint="eastAsia" w:asciiTheme="minorEastAsia" w:hAnsiTheme="minorEastAsia" w:eastAsiaTheme="minorEastAsia"/>
                <w:b/>
                <w:color w:val="000000"/>
                <w:sz w:val="20"/>
                <w:szCs w:val="20"/>
              </w:rPr>
              <w:t>持续适宜性、方针的传达及职工的理解等）</w:t>
            </w:r>
          </w:p>
          <w:p>
            <w:pPr>
              <w:ind w:firstLine="400" w:firstLineChars="200"/>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rPr>
              <w:t>公司</w:t>
            </w:r>
            <w:r>
              <w:rPr>
                <w:rFonts w:hint="eastAsia" w:cs="宋体" w:asciiTheme="minorEastAsia" w:hAnsiTheme="minorEastAsia" w:eastAsiaTheme="minorEastAsia"/>
                <w:sz w:val="20"/>
                <w:szCs w:val="20"/>
                <w:lang w:val="en-US" w:eastAsia="zh-CN"/>
              </w:rPr>
              <w:t>制定管理方针。</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left="199" w:leftChars="95"/>
              <w:rPr>
                <w:rFonts w:ascii="Times New Roman" w:hAnsi="Times New Roman" w:eastAsia="宋体" w:cs="Times New Roman"/>
                <w:b/>
                <w:color w:val="000000" w:themeColor="text1"/>
                <w:kern w:val="2"/>
                <w:sz w:val="21"/>
                <w:szCs w:val="24"/>
                <w:lang w:val="en-US" w:eastAsia="zh-CN" w:bidi="ar-SA"/>
              </w:rPr>
            </w:pPr>
            <w:r>
              <w:rPr>
                <w:rFonts w:hint="eastAsia" w:cs="宋体" w:asciiTheme="minorEastAsia" w:hAnsiTheme="minorEastAsia" w:eastAsiaTheme="minor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rFonts w:asciiTheme="minorEastAsia" w:hAnsiTheme="minorEastAsia" w:eastAsiaTheme="minorEastAsia"/>
                <w:b/>
                <w:color w:val="000000"/>
              </w:rPr>
            </w:pPr>
            <w:r>
              <w:rPr>
                <w:rFonts w:asciiTheme="minorEastAsia" w:hAnsiTheme="minorEastAsia" w:eastAsiaTheme="minorEastAsia"/>
                <w:b/>
                <w:color w:val="000000"/>
              </w:rPr>
              <w:t>4</w:t>
            </w:r>
            <w:r>
              <w:rPr>
                <w:rFonts w:hint="eastAsia" w:asciiTheme="minorEastAsia" w:hAnsiTheme="minorEastAsia" w:eastAsiaTheme="minorEastAsia"/>
                <w:b/>
                <w:color w:val="000000"/>
              </w:rPr>
              <w:t>、风险识别与控制策划（</w:t>
            </w:r>
            <w:r>
              <w:rPr>
                <w:rFonts w:asciiTheme="minorEastAsia" w:hAnsiTheme="minorEastAsia" w:eastAsiaTheme="minorEastAsia"/>
                <w:b/>
                <w:color w:val="000000"/>
              </w:rPr>
              <w:t>QMS</w:t>
            </w:r>
            <w:r>
              <w:rPr>
                <w:rFonts w:hint="eastAsia" w:asciiTheme="minorEastAsia" w:hAnsiTheme="minorEastAsia" w:eastAsiaTheme="minorEastAsia"/>
                <w:b/>
                <w:color w:val="000000"/>
              </w:rPr>
              <w:t>）</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公司制定管理手册中，明确风险和机遇事件的识别方法</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途径、风险和机遇事件的评估方式、制定主要风险和机遇事件的应对措施的要求、评价这些措施有效性的方法。</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提供“风险与机遇评价与应对策划表”，按照生产、销售服务、采购、支持过程</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部门对风险和机遇进行了评价识别，并制定应对措施。</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风险机遇识别基本充分，应对风险和机遇的措施基本适宜。</w:t>
            </w:r>
          </w:p>
          <w:p>
            <w:pPr>
              <w:rPr>
                <w:rFonts w:ascii="Times New Roman" w:hAnsi="Times New Roman" w:eastAsia="宋体" w:cs="Times New Roman"/>
                <w:b/>
                <w:color w:val="000000" w:themeColor="text1"/>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拉丝过程和漆包过程（退回和上漆）</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拉丝过程和漆包过程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Theme="minorEastAsia" w:hAnsiTheme="minorEastAsia" w:eastAsiaTheme="minorEastAsia"/>
                <w:b/>
                <w:color w:val="000000"/>
                <w:spacing w:val="-12"/>
                <w:sz w:val="20"/>
                <w:szCs w:val="20"/>
              </w:rPr>
            </w:pPr>
            <w:r>
              <w:rPr>
                <w:rFonts w:asciiTheme="minorEastAsia" w:hAnsiTheme="minorEastAsia" w:eastAsiaTheme="minorEastAsia"/>
                <w:b/>
                <w:color w:val="000000"/>
                <w:sz w:val="20"/>
                <w:szCs w:val="20"/>
              </w:rPr>
              <w:t xml:space="preserve">6. </w:t>
            </w:r>
            <w:r>
              <w:rPr>
                <w:rFonts w:asciiTheme="minorEastAsia" w:hAnsiTheme="minorEastAsia" w:eastAsiaTheme="minorEastAsia"/>
                <w:b/>
                <w:color w:val="000000"/>
                <w:spacing w:val="-12"/>
                <w:sz w:val="20"/>
                <w:szCs w:val="20"/>
              </w:rPr>
              <w:t>EMS</w:t>
            </w:r>
            <w:r>
              <w:rPr>
                <w:rFonts w:hint="eastAsia" w:asciiTheme="minorEastAsia" w:hAnsiTheme="minorEastAsia" w:eastAsiaTheme="minorEastAsia"/>
                <w:b/>
                <w:color w:val="000000"/>
                <w:spacing w:val="-12"/>
                <w:sz w:val="20"/>
                <w:szCs w:val="20"/>
              </w:rPr>
              <w:t>环境因素</w:t>
            </w:r>
            <w:r>
              <w:rPr>
                <w:rFonts w:asciiTheme="minorEastAsia" w:hAnsiTheme="minorEastAsia" w:eastAsiaTheme="minorEastAsia"/>
                <w:b/>
                <w:color w:val="000000"/>
                <w:spacing w:val="-12"/>
                <w:sz w:val="20"/>
                <w:szCs w:val="20"/>
              </w:rPr>
              <w:t>/</w:t>
            </w:r>
          </w:p>
          <w:p>
            <w:pPr>
              <w:spacing w:line="300" w:lineRule="exact"/>
              <w:rPr>
                <w:rFonts w:asciiTheme="minorEastAsia" w:hAnsiTheme="minorEastAsia" w:eastAsiaTheme="minorEastAsia"/>
                <w:b/>
                <w:color w:val="000000"/>
                <w:spacing w:val="-8"/>
                <w:sz w:val="20"/>
                <w:szCs w:val="20"/>
              </w:rPr>
            </w:pPr>
            <w:r>
              <w:rPr>
                <w:rFonts w:hint="eastAsia" w:asciiTheme="minorEastAsia" w:hAnsiTheme="minorEastAsia" w:eastAsiaTheme="minorEastAsia"/>
                <w:b/>
                <w:color w:val="000000"/>
                <w:sz w:val="20"/>
                <w:szCs w:val="20"/>
              </w:rPr>
              <w:t>（</w:t>
            </w:r>
            <w:r>
              <w:rPr>
                <w:rFonts w:hint="eastAsia" w:asciiTheme="minorEastAsia" w:hAnsiTheme="minorEastAsia" w:eastAsiaTheme="minorEastAsia"/>
                <w:b/>
                <w:color w:val="000000"/>
                <w:spacing w:val="-8"/>
                <w:sz w:val="20"/>
                <w:szCs w:val="20"/>
              </w:rPr>
              <w:t>环境因素</w:t>
            </w:r>
            <w:r>
              <w:rPr>
                <w:rFonts w:hint="eastAsia" w:asciiTheme="minorEastAsia" w:hAnsiTheme="minorEastAsia" w:eastAsiaTheme="minorEastAsia"/>
                <w:b/>
                <w:color w:val="000000"/>
                <w:sz w:val="20"/>
                <w:szCs w:val="20"/>
              </w:rPr>
              <w:t>辨识是否充分、重要环境因素评价合理性，</w:t>
            </w:r>
            <w:r>
              <w:rPr>
                <w:rFonts w:hint="eastAsia" w:asciiTheme="minorEastAsia" w:hAnsiTheme="minorEastAsia" w:eastAsiaTheme="minorEastAsia"/>
                <w:b/>
                <w:color w:val="000000"/>
                <w:spacing w:val="-8"/>
                <w:sz w:val="20"/>
                <w:szCs w:val="20"/>
              </w:rPr>
              <w:t>以及环境因素动态变更的及时性等）</w:t>
            </w:r>
          </w:p>
          <w:p>
            <w:pPr>
              <w:ind w:firstLine="400" w:firstLineChars="20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公司制订环境因素识别与评价控制程序，根据办公、采购、</w:t>
            </w:r>
            <w:r>
              <w:rPr>
                <w:rFonts w:hint="eastAsia" w:cs="宋体" w:asciiTheme="minorEastAsia" w:hAnsiTheme="minorEastAsia" w:eastAsiaTheme="minorEastAsia"/>
                <w:bCs/>
                <w:sz w:val="20"/>
                <w:szCs w:val="20"/>
                <w:lang w:val="en-US" w:eastAsia="zh-CN"/>
              </w:rPr>
              <w:t>供销</w:t>
            </w:r>
            <w:r>
              <w:rPr>
                <w:rFonts w:hint="eastAsia" w:cs="宋体" w:asciiTheme="minorEastAsia" w:hAnsiTheme="minorEastAsia" w:eastAsiaTheme="minorEastAsia"/>
                <w:bCs/>
                <w:sz w:val="20"/>
                <w:szCs w:val="20"/>
              </w:rPr>
              <w:t>、</w:t>
            </w:r>
            <w:r>
              <w:rPr>
                <w:rFonts w:hint="eastAsia" w:cs="宋体" w:asciiTheme="minorEastAsia" w:hAnsiTheme="minorEastAsia" w:eastAsiaTheme="minorEastAsia"/>
                <w:bCs/>
                <w:sz w:val="20"/>
                <w:szCs w:val="20"/>
                <w:lang w:val="en-US" w:eastAsia="zh-CN"/>
              </w:rPr>
              <w:t>机械加工、调试（检验）、喷塑</w:t>
            </w:r>
            <w:r>
              <w:rPr>
                <w:rFonts w:hint="eastAsia" w:cs="宋体" w:asciiTheme="minorEastAsia" w:hAnsiTheme="minorEastAsia" w:eastAsiaTheme="minorEastAsia"/>
                <w:bCs/>
                <w:sz w:val="20"/>
                <w:szCs w:val="20"/>
              </w:rPr>
              <w:t>等过程及工作特点对涉及的环境因素进行了识别和辨识。</w:t>
            </w:r>
          </w:p>
          <w:p>
            <w:pPr>
              <w:spacing w:before="156" w:beforeLines="50"/>
              <w:ind w:firstLine="42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重要环境因素主要有：</w:t>
            </w:r>
            <w:r>
              <w:rPr>
                <w:rFonts w:hint="eastAsia" w:ascii="宋体" w:hAnsi="宋体" w:eastAsia="宋体" w:cs="Times New Roman"/>
                <w:u w:val="single"/>
                <w:lang w:val="en-US" w:eastAsia="zh-CN"/>
              </w:rPr>
              <w:t>噪声排放、</w:t>
            </w:r>
            <w:r>
              <w:rPr>
                <w:rFonts w:hint="default" w:ascii="宋体" w:hAnsi="宋体" w:eastAsia="宋体" w:cs="Times New Roman"/>
                <w:u w:val="single"/>
                <w:lang w:val="en-US" w:eastAsia="zh-CN"/>
              </w:rPr>
              <w:t>固废</w:t>
            </w:r>
            <w:r>
              <w:rPr>
                <w:rFonts w:hint="eastAsia" w:ascii="宋体" w:hAnsi="宋体" w:eastAsia="宋体" w:cs="Times New Roman"/>
                <w:u w:val="single"/>
                <w:lang w:val="en-US" w:eastAsia="zh-CN"/>
              </w:rPr>
              <w:t>（废金属、废包装、废塑粉）排放、废气排放、生活污水排放</w:t>
            </w:r>
            <w:r>
              <w:rPr>
                <w:rFonts w:hint="eastAsia" w:cs="宋体" w:asciiTheme="minorEastAsia" w:hAnsiTheme="minorEastAsia" w:eastAsiaTheme="minorEastAsia"/>
                <w:bCs/>
                <w:sz w:val="20"/>
                <w:szCs w:val="20"/>
              </w:rPr>
              <w:t>，基本合理。</w:t>
            </w:r>
          </w:p>
          <w:p>
            <w:pPr>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Theme="minorEastAsia" w:hAnsiTheme="minorEastAsia" w:eastAsiaTheme="minorEastAsia"/>
                <w:b/>
                <w:color w:val="000000"/>
                <w:spacing w:val="-12"/>
                <w:sz w:val="20"/>
                <w:szCs w:val="20"/>
              </w:rPr>
            </w:pPr>
            <w:r>
              <w:rPr>
                <w:rFonts w:asciiTheme="minorEastAsia" w:hAnsiTheme="minorEastAsia" w:eastAsiaTheme="minorEastAsia"/>
                <w:b/>
                <w:color w:val="000000"/>
                <w:spacing w:val="-10"/>
                <w:sz w:val="20"/>
                <w:szCs w:val="20"/>
              </w:rPr>
              <w:t xml:space="preserve">7. </w:t>
            </w:r>
            <w:r>
              <w:rPr>
                <w:rFonts w:asciiTheme="minorEastAsia" w:hAnsiTheme="minorEastAsia" w:eastAsiaTheme="minorEastAsia"/>
                <w:b/>
                <w:color w:val="000000"/>
                <w:spacing w:val="-12"/>
                <w:sz w:val="20"/>
                <w:szCs w:val="20"/>
              </w:rPr>
              <w:t>OHSMS</w:t>
            </w:r>
            <w:r>
              <w:rPr>
                <w:rFonts w:hint="eastAsia" w:asciiTheme="minorEastAsia" w:hAnsiTheme="minorEastAsia" w:eastAsiaTheme="minorEastAsia"/>
                <w:b/>
                <w:color w:val="000000"/>
                <w:spacing w:val="-12"/>
                <w:sz w:val="20"/>
                <w:szCs w:val="20"/>
              </w:rPr>
              <w:t>职业健康安全危险源</w:t>
            </w:r>
          </w:p>
          <w:p>
            <w:pPr>
              <w:spacing w:line="300" w:lineRule="exact"/>
              <w:rPr>
                <w:rFonts w:asciiTheme="minorEastAsia" w:hAnsiTheme="minorEastAsia" w:eastAsiaTheme="minorEastAsia"/>
                <w:b/>
                <w:color w:val="000000"/>
                <w:spacing w:val="-8"/>
                <w:sz w:val="20"/>
                <w:szCs w:val="20"/>
              </w:rPr>
            </w:pPr>
            <w:r>
              <w:rPr>
                <w:rFonts w:hint="eastAsia" w:asciiTheme="minorEastAsia" w:hAnsiTheme="minorEastAsia" w:eastAsiaTheme="minorEastAsia"/>
                <w:b/>
                <w:color w:val="000000"/>
                <w:sz w:val="20"/>
                <w:szCs w:val="20"/>
              </w:rPr>
              <w:t>（</w:t>
            </w:r>
            <w:r>
              <w:rPr>
                <w:rFonts w:hint="eastAsia" w:asciiTheme="minorEastAsia" w:hAnsiTheme="minorEastAsia" w:eastAsiaTheme="minorEastAsia"/>
                <w:b/>
                <w:color w:val="000000"/>
                <w:spacing w:val="-8"/>
                <w:sz w:val="20"/>
                <w:szCs w:val="20"/>
              </w:rPr>
              <w:t>职业健康安全危险源</w:t>
            </w:r>
            <w:r>
              <w:rPr>
                <w:rFonts w:hint="eastAsia" w:asciiTheme="minorEastAsia" w:hAnsiTheme="minorEastAsia" w:eastAsiaTheme="minorEastAsia"/>
                <w:b/>
                <w:color w:val="000000"/>
                <w:sz w:val="20"/>
                <w:szCs w:val="20"/>
              </w:rPr>
              <w:t>辨识是否充分、风险评价合理性，</w:t>
            </w:r>
            <w:r>
              <w:rPr>
                <w:rFonts w:hint="eastAsia" w:asciiTheme="minorEastAsia" w:hAnsiTheme="minorEastAsia" w:eastAsiaTheme="minorEastAsia"/>
                <w:b/>
                <w:color w:val="000000"/>
                <w:spacing w:val="-8"/>
                <w:sz w:val="20"/>
                <w:szCs w:val="20"/>
              </w:rPr>
              <w:t>以及风险评价动态变更的及时性等）</w:t>
            </w:r>
          </w:p>
          <w:p>
            <w:pPr>
              <w:ind w:firstLine="400" w:firstLineChars="20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公司制订危险源辩识风险评价控制程序，根据办公、采购、</w:t>
            </w:r>
            <w:r>
              <w:rPr>
                <w:rFonts w:hint="eastAsia" w:cs="宋体" w:asciiTheme="minorEastAsia" w:hAnsiTheme="minorEastAsia" w:eastAsiaTheme="minorEastAsia"/>
                <w:bCs/>
                <w:sz w:val="20"/>
                <w:szCs w:val="20"/>
                <w:lang w:val="en-US" w:eastAsia="zh-CN"/>
              </w:rPr>
              <w:t>供销</w:t>
            </w:r>
            <w:r>
              <w:rPr>
                <w:rFonts w:hint="eastAsia" w:cs="宋体" w:asciiTheme="minorEastAsia" w:hAnsiTheme="minorEastAsia" w:eastAsiaTheme="minorEastAsia"/>
                <w:bCs/>
                <w:sz w:val="20"/>
                <w:szCs w:val="20"/>
              </w:rPr>
              <w:t>、</w:t>
            </w:r>
            <w:r>
              <w:rPr>
                <w:rFonts w:hint="eastAsia" w:cs="宋体" w:asciiTheme="minorEastAsia" w:hAnsiTheme="minorEastAsia" w:eastAsiaTheme="minorEastAsia"/>
                <w:bCs/>
                <w:sz w:val="20"/>
                <w:szCs w:val="20"/>
                <w:lang w:val="en-US" w:eastAsia="zh-CN"/>
              </w:rPr>
              <w:t>组装、调试（检验）</w:t>
            </w:r>
            <w:r>
              <w:rPr>
                <w:rFonts w:hint="eastAsia" w:cs="宋体" w:asciiTheme="minorEastAsia" w:hAnsiTheme="minorEastAsia" w:eastAsiaTheme="minorEastAsia"/>
                <w:bCs/>
                <w:sz w:val="20"/>
                <w:szCs w:val="20"/>
              </w:rPr>
              <w:t>等过</w:t>
            </w:r>
            <w:r>
              <w:rPr>
                <w:rFonts w:hint="eastAsia" w:cs="宋体" w:asciiTheme="minorEastAsia" w:hAnsiTheme="minorEastAsia" w:eastAsiaTheme="minorEastAsia"/>
                <w:bCs/>
                <w:sz w:val="20"/>
                <w:szCs w:val="20"/>
                <w:lang w:val="en-US" w:eastAsia="zh-CN"/>
              </w:rPr>
              <w:t>程</w:t>
            </w:r>
            <w:r>
              <w:rPr>
                <w:rFonts w:hint="eastAsia" w:cs="宋体" w:asciiTheme="minorEastAsia" w:hAnsiTheme="minorEastAsia" w:eastAsiaTheme="minorEastAsia"/>
                <w:bCs/>
                <w:sz w:val="20"/>
                <w:szCs w:val="20"/>
              </w:rPr>
              <w:t>及工作特点对涉及的环境因素、危险源进行了识别和辨识。</w:t>
            </w:r>
          </w:p>
          <w:p>
            <w:pPr>
              <w:spacing w:line="300" w:lineRule="exact"/>
              <w:rPr>
                <w:rFonts w:ascii="Times New Roman" w:hAnsi="Times New Roman" w:eastAsia="宋体" w:cs="Times New Roman"/>
                <w:b/>
                <w:color w:val="000000" w:themeColor="text1"/>
                <w:kern w:val="2"/>
                <w:sz w:val="20"/>
                <w:szCs w:val="20"/>
                <w:lang w:val="en-US" w:eastAsia="zh-CN" w:bidi="ar-SA"/>
              </w:rPr>
            </w:pPr>
            <w:r>
              <w:rPr>
                <w:rFonts w:hint="eastAsia" w:cs="宋体" w:asciiTheme="minorEastAsia" w:hAnsiTheme="minorEastAsia" w:eastAsiaTheme="minorEastAsia"/>
                <w:bCs/>
                <w:sz w:val="20"/>
                <w:szCs w:val="20"/>
              </w:rPr>
              <w:t>不可接受风险主要有：</w:t>
            </w:r>
            <w:r>
              <w:rPr>
                <w:rFonts w:hint="eastAsia" w:ascii="宋体" w:hAnsi="宋体" w:eastAsia="宋体" w:cs="Times New Roman"/>
                <w:u w:val="single"/>
                <w:lang w:val="en-US" w:eastAsia="zh-CN"/>
              </w:rPr>
              <w:t>机械伤害</w:t>
            </w:r>
            <w:r>
              <w:rPr>
                <w:rFonts w:hint="eastAsia" w:ascii="宋体" w:hAnsi="宋体" w:eastAsia="宋体" w:cs="Times New Roman"/>
                <w:u w:val="single"/>
              </w:rPr>
              <w:t>、</w:t>
            </w:r>
            <w:r>
              <w:rPr>
                <w:rFonts w:hint="eastAsia" w:ascii="宋体" w:hAnsi="宋体" w:eastAsia="宋体" w:cs="Times New Roman"/>
                <w:u w:val="single"/>
                <w:lang w:val="en-US" w:eastAsia="zh-CN"/>
              </w:rPr>
              <w:t>职业病（噪声耳聋、呼吸道损害）、触电、潜在火灾发生、烫伤、爆炸人</w:t>
            </w:r>
            <w:r>
              <w:rPr>
                <w:rFonts w:hint="eastAsia" w:ascii="宋体" w:hAnsi="宋体" w:eastAsia="宋体" w:cs="Times New Roman"/>
                <w:u w:val="single"/>
              </w:rPr>
              <w:t>员</w:t>
            </w:r>
            <w:r>
              <w:rPr>
                <w:rFonts w:hint="eastAsia" w:ascii="宋体" w:hAnsi="宋体"/>
                <w:u w:val="single"/>
              </w:rPr>
              <w:t>伤亡</w:t>
            </w:r>
            <w:r>
              <w:rPr>
                <w:rFonts w:hint="eastAsia" w:ascii="宋体" w:hAnsi="宋体"/>
                <w:u w:val="single"/>
                <w:lang w:val="en-US" w:eastAsia="zh-CN"/>
              </w:rPr>
              <w:t>等</w:t>
            </w:r>
            <w:r>
              <w:rPr>
                <w:rFonts w:hint="eastAsia" w:cs="宋体" w:asciiTheme="minorEastAsia" w:hAnsiTheme="minorEastAsia" w:eastAsiaTheme="minorEastAsia"/>
                <w:bCs/>
                <w:szCs w:val="21"/>
              </w:rPr>
              <w:t>。以上危险源识别基本全面、无遗漏，评价基本合理。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6"/>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法律法规获取有遗漏，缺少</w:t>
            </w:r>
            <w:r>
              <w:rPr>
                <w:rFonts w:hint="eastAsia" w:ascii="宋体" w:hAnsi="宋体" w:cs="Times New Roman"/>
                <w:sz w:val="21"/>
                <w:highlight w:val="yellow"/>
                <w:lang w:val="en-US" w:eastAsia="zh-CN"/>
              </w:rPr>
              <w:t>GB/T 6109-2008《漆包圆绕组》系列标准（.1除外）、GBZ 158-2003《工作场所职业病危害警示标识》</w:t>
            </w:r>
          </w:p>
          <w:p>
            <w:pPr>
              <w:tabs>
                <w:tab w:val="left" w:pos="540"/>
              </w:tabs>
              <w:spacing w:line="300" w:lineRule="exact"/>
              <w:ind w:left="1" w:leftChars="-43" w:hanging="91" w:hangingChars="43"/>
              <w:rPr>
                <w:rFonts w:ascii="宋体" w:hAnsi="宋体"/>
                <w:b/>
                <w:color w:val="000000" w:themeColor="text1"/>
                <w:szCs w:val="21"/>
                <w:u w:val="single"/>
              </w:rPr>
            </w:pPr>
          </w:p>
          <w:p>
            <w:pPr>
              <w:pStyle w:val="16"/>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6"/>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会议、网络</w:t>
            </w:r>
          </w:p>
          <w:p>
            <w:pPr>
              <w:pStyle w:val="16"/>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Theme="minorEastAsia" w:hAnsiTheme="minorEastAsia" w:eastAsiaTheme="minorEastAsia"/>
                <w:b/>
                <w:color w:val="000000"/>
                <w:szCs w:val="21"/>
              </w:rPr>
            </w:pPr>
            <w:r>
              <w:rPr>
                <w:rFonts w:asciiTheme="minorEastAsia" w:hAnsiTheme="minorEastAsia" w:eastAsiaTheme="minorEastAsia"/>
                <w:b/>
                <w:color w:val="000000"/>
                <w:szCs w:val="21"/>
              </w:rPr>
              <w:t xml:space="preserve">5. </w:t>
            </w:r>
            <w:r>
              <w:rPr>
                <w:rFonts w:hint="eastAsia" w:asciiTheme="minorEastAsia" w:hAnsiTheme="minorEastAsia" w:eastAsiaTheme="minorEastAsia"/>
                <w:b/>
                <w:color w:val="000000"/>
                <w:szCs w:val="21"/>
              </w:rPr>
              <w:t>目标、方案</w:t>
            </w:r>
          </w:p>
          <w:p>
            <w:pPr>
              <w:spacing w:line="300" w:lineRule="exact"/>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w:t>
            </w:r>
            <w:r>
              <w:rPr>
                <w:rFonts w:hint="eastAsia" w:asciiTheme="minorEastAsia" w:hAnsiTheme="minorEastAsia" w:eastAsiaTheme="minorEastAsia"/>
                <w:b/>
                <w:color w:val="000000"/>
                <w:spacing w:val="-4"/>
                <w:sz w:val="20"/>
                <w:szCs w:val="20"/>
              </w:rPr>
              <w:t>在相关层次上建立</w:t>
            </w:r>
            <w:r>
              <w:rPr>
                <w:rFonts w:hint="eastAsia" w:asciiTheme="minorEastAsia" w:hAnsiTheme="minorEastAsia" w:eastAsiaTheme="minorEastAsia"/>
                <w:b/>
                <w:color w:val="000000"/>
                <w:sz w:val="20"/>
                <w:szCs w:val="20"/>
              </w:rPr>
              <w:t>可测量的目标，目标、方案的有效性，对质量目标的实现情况进行评价并叙述测量方法）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查有公司级管理目标，并按照部门对目标进行分解，有目标管理管理规定，规定了目标的分解及考核的具体方法。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与方针一致，符合公司总的质量、环境、职业健康安全目标，进行了统计及目标实现分析，经查，达成目标，并将管理目标完成情况在公司会议上进行通报。</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提供《目标指标和管理方案》《目标指标和管理方案考核表》</w:t>
            </w:r>
          </w:p>
          <w:p>
            <w:pPr>
              <w:spacing w:line="300" w:lineRule="exact"/>
              <w:rPr>
                <w:rFonts w:ascii="宋体" w:hAnsi="宋体" w:eastAsia="宋体" w:cs="Times New Roman"/>
                <w:b/>
                <w:color w:val="000000" w:themeColor="text1"/>
                <w:kern w:val="2"/>
                <w:sz w:val="21"/>
                <w:szCs w:val="24"/>
                <w:lang w:val="en-US" w:eastAsia="zh-CN" w:bidi="ar-SA"/>
              </w:rPr>
            </w:pPr>
            <w:r>
              <w:rPr>
                <w:rFonts w:hint="eastAsia" w:cs="Times New Roman" w:asciiTheme="minorEastAsia" w:hAnsiTheme="minorEastAsia" w:eastAsiaTheme="minorEastAsia"/>
                <w:color w:val="000000"/>
                <w:kern w:val="2"/>
                <w:sz w:val="20"/>
                <w:szCs w:val="20"/>
                <w:lang w:val="en-US" w:eastAsia="zh-CN" w:bidi="ar-SA"/>
              </w:rPr>
              <w:t>以上目标指标均已完成，管理方案规定了措施方法、完成时间表、责任人、资金等情况。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Theme="minorEastAsia" w:hAnsiTheme="minorEastAsia" w:eastAsiaTheme="minorEastAsia"/>
                <w:b/>
                <w:color w:val="000000"/>
                <w:sz w:val="20"/>
                <w:szCs w:val="20"/>
              </w:rPr>
            </w:pPr>
            <w:r>
              <w:rPr>
                <w:rFonts w:asciiTheme="minorEastAsia" w:hAnsiTheme="minorEastAsia" w:eastAsiaTheme="minorEastAsia"/>
                <w:b/>
                <w:color w:val="000000"/>
                <w:sz w:val="20"/>
                <w:szCs w:val="20"/>
              </w:rPr>
              <w:t xml:space="preserve">6. </w:t>
            </w:r>
            <w:r>
              <w:rPr>
                <w:rFonts w:hint="eastAsia" w:asciiTheme="minorEastAsia" w:hAnsiTheme="minorEastAsia" w:eastAsiaTheme="minorEastAsia"/>
                <w:b/>
                <w:color w:val="000000"/>
                <w:sz w:val="20"/>
                <w:szCs w:val="20"/>
              </w:rPr>
              <w:t>文件与记录控制</w:t>
            </w:r>
            <w:r>
              <w:rPr>
                <w:rFonts w:asciiTheme="minorEastAsia" w:hAnsiTheme="minorEastAsia" w:eastAsiaTheme="minorEastAsia"/>
                <w:b/>
                <w:color w:val="000000"/>
                <w:sz w:val="20"/>
                <w:szCs w:val="20"/>
              </w:rPr>
              <w:t xml:space="preserve"> (</w:t>
            </w:r>
            <w:r>
              <w:rPr>
                <w:rFonts w:hint="eastAsia" w:asciiTheme="minorEastAsia" w:hAnsiTheme="minorEastAsia" w:eastAsiaTheme="minorEastAsia"/>
                <w:b/>
                <w:color w:val="000000"/>
                <w:sz w:val="20"/>
                <w:szCs w:val="20"/>
              </w:rPr>
              <w:t>文审修订后文件与标准的符合程度评价、</w:t>
            </w:r>
            <w:r>
              <w:rPr>
                <w:rFonts w:hint="eastAsia" w:asciiTheme="minorEastAsia" w:hAnsiTheme="minorEastAsia" w:eastAsiaTheme="minorEastAsia"/>
                <w:b/>
                <w:color w:val="000000"/>
                <w:spacing w:val="-4"/>
                <w:sz w:val="20"/>
                <w:szCs w:val="20"/>
              </w:rPr>
              <w:t>文件</w:t>
            </w:r>
            <w:r>
              <w:rPr>
                <w:rFonts w:hint="eastAsia" w:asciiTheme="minorEastAsia" w:hAnsiTheme="minorEastAsia" w:eastAsiaTheme="minorEastAsia"/>
                <w:b/>
                <w:color w:val="000000"/>
                <w:sz w:val="20"/>
                <w:szCs w:val="20"/>
              </w:rPr>
              <w:t>控制管理等</w:t>
            </w:r>
            <w:r>
              <w:rPr>
                <w:rFonts w:asciiTheme="minorEastAsia" w:hAnsiTheme="minorEastAsia" w:eastAsiaTheme="minorEastAsia"/>
                <w:b/>
                <w:color w:val="000000"/>
                <w:sz w:val="20"/>
                <w:szCs w:val="20"/>
              </w:rPr>
              <w:t>)</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受审核方建立的管理体系文件包括：</w:t>
            </w:r>
          </w:p>
          <w:p>
            <w:pPr>
              <w:spacing w:before="156" w:beforeLines="50"/>
              <w:ind w:right="168" w:rightChars="80"/>
              <w:jc w:val="both"/>
              <w:outlineLvl w:val="0"/>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 xml:space="preserve">1.管理手册DQ-SC-2021 A/0 版，发布时间：2021.1.1 实施时间2020.1.1 </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2.程序文件，包括标准要求的形成文件的信息。</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3.管理制度汇编</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包括管理制度、作业指导书等。</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4.体系运行所需要的文件和记录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编制了《文件控制程序》，用于对管理体系文件，符合标准要求。</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查办公室管理手册、管理制度等文件均保管良好，为有效版本，有受控标识。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办公室负责收集有关产品的国家标准、行业标准的最新版本，分发到相关部门使用；收回旧标准。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查见《法律法规清单》，内容包括：序号、文件名称、编号、版本等，有遗漏。</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收录的产品标准类外来文件保管良好，为有效版本。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查见《记录清单》，内容包括：序号、记录名称、编号、保存期、使用部门等。</w:t>
            </w:r>
          </w:p>
          <w:p>
            <w:pPr>
              <w:spacing w:line="300" w:lineRule="exact"/>
              <w:rPr>
                <w:rFonts w:ascii="宋体" w:hAnsi="宋体" w:eastAsia="宋体" w:cs="Times New Roman"/>
                <w:b/>
                <w:color w:val="000000" w:themeColor="text1"/>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人力资源的简要说明</w:t>
            </w:r>
            <w:r>
              <w:rPr>
                <w:rFonts w:asciiTheme="minorEastAsia" w:hAnsiTheme="minorEastAsia" w:eastAsiaTheme="minorEastAsia"/>
                <w:b/>
                <w:color w:val="000000"/>
                <w:sz w:val="20"/>
                <w:szCs w:val="20"/>
              </w:rPr>
              <w:t>.:</w:t>
            </w:r>
          </w:p>
          <w:p>
            <w:pPr>
              <w:spacing w:line="300" w:lineRule="exact"/>
              <w:rPr>
                <w:rFonts w:cs="Times New Roman" w:asciiTheme="minorEastAsia" w:hAnsiTheme="minorEastAsia" w:eastAsiaTheme="minorEastAsia"/>
                <w:b/>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上岗前经过岗前培训，销售人员及生产、检验人员均经过专业培训。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设备设施（包括信息系统）、</w:t>
            </w:r>
          </w:p>
          <w:p>
            <w:pPr>
              <w:spacing w:line="240" w:lineRule="exact"/>
              <w:rPr>
                <w:rFonts w:hint="default" w:cs="Times New Roman" w:asciiTheme="minorEastAsia" w:hAnsiTheme="minorEastAsia" w:eastAsiaTheme="minorEastAsia"/>
                <w:b/>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 xml:space="preserve">自动化拉丝机29台，漆包（退回和上漆烘干）一体自动化设备5台，三催化燃烧废气自动处理装置一套； 废气自动监测一台； 驻车一台；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过程运行环境</w:t>
            </w:r>
          </w:p>
          <w:p>
            <w:pPr>
              <w:pStyle w:val="11"/>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现场观察办公区、生产车间环境卫生管理，工作场所布局合理，温湿度适宜，照明良好，满足办公和生产需求。经与主管人员交谈，其对本部门在本条款管理中的职责、分工和接口关系清楚掌握，基本符合文件要求。</w:t>
            </w:r>
          </w:p>
          <w:p>
            <w:pPr>
              <w:pStyle w:val="11"/>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公司定期举行团队活动，已缓解员工的心理压力、过度疲劳等。</w:t>
            </w:r>
          </w:p>
          <w:p>
            <w:pPr>
              <w:pStyle w:val="11"/>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公司现场观察，公司办公场所和生产场所均环境良好，满足办公需要，无特殊环境要求。</w:t>
            </w:r>
          </w:p>
          <w:p>
            <w:pPr>
              <w:spacing w:line="240" w:lineRule="exact"/>
              <w:rPr>
                <w:rFonts w:cs="Times New Roman" w:asciiTheme="minorEastAsia" w:hAnsiTheme="minorEastAsia" w:eastAsiaTheme="minorEastAsia"/>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监视和测量资源</w:t>
            </w:r>
          </w:p>
          <w:p>
            <w:pPr>
              <w:pStyle w:val="2"/>
              <w:spacing w:line="240" w:lineRule="auto"/>
              <w:ind w:firstLine="567" w:firstLineChars="0"/>
              <w:rPr>
                <w:rFonts w:hint="default" w:ascii="Times New Roman" w:hAnsi="Times New Roman" w:eastAsia="宋体" w:cs="Times New Roman"/>
                <w:kern w:val="2"/>
                <w:sz w:val="28"/>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数字直流电桥、鼓风试验箱、急拉断试验仪、直焊性试验仪、漆包圆线卷绕试验仪等215件器具；抽查情况来看，均有检定/校准报告。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知识</w:t>
            </w:r>
          </w:p>
          <w:p>
            <w:pPr>
              <w:spacing w:line="240" w:lineRule="exact"/>
              <w:rPr>
                <w:rFonts w:cs="Times New Roman" w:asciiTheme="minorEastAsia" w:hAnsiTheme="minorEastAsia" w:eastAsiaTheme="minorEastAsia"/>
                <w:b/>
                <w:color w:val="000000"/>
                <w:kern w:val="2"/>
                <w:sz w:val="20"/>
                <w:szCs w:val="20"/>
                <w:lang w:val="en-US" w:eastAsia="zh-CN" w:bidi="ar-SA"/>
              </w:rPr>
            </w:pPr>
            <w:r>
              <w:rPr>
                <w:rFonts w:hint="eastAsia" w:asciiTheme="minorEastAsia" w:hAnsiTheme="minorEastAsia" w:eastAsiaTheme="minorEastAsia"/>
                <w:color w:val="000000"/>
                <w:sz w:val="20"/>
                <w:szCs w:val="20"/>
                <w:lang w:val="en-US" w:eastAsia="zh-CN"/>
              </w:rPr>
              <w:t>企业运行过程所需的知识从内部来源获取的有：公司生产检验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Theme="minorEastAsia" w:hAnsiTheme="minorEastAsia" w:eastAsiaTheme="minorEastAsia"/>
                <w:szCs w:val="21"/>
              </w:rPr>
            </w:pPr>
            <w:r>
              <w:rPr>
                <w:rFonts w:hint="eastAsia" w:asciiTheme="minorEastAsia" w:hAnsiTheme="minorEastAsia" w:eastAsiaTheme="minorEastAsia"/>
                <w:b/>
                <w:color w:val="000000"/>
                <w:sz w:val="20"/>
                <w:szCs w:val="20"/>
              </w:rPr>
              <w:t>环保设施：</w:t>
            </w:r>
          </w:p>
          <w:p>
            <w:pPr>
              <w:spacing w:line="240" w:lineRule="exact"/>
              <w:rPr>
                <w:rFonts w:cs="Times New Roman" w:asciiTheme="minorEastAsia" w:hAnsiTheme="minorEastAsia" w:eastAsiaTheme="minorEastAsia"/>
                <w:b/>
                <w:color w:val="000000"/>
                <w:kern w:val="2"/>
                <w:sz w:val="20"/>
                <w:szCs w:val="20"/>
                <w:lang w:val="en-US" w:eastAsia="zh-CN" w:bidi="ar-SA"/>
              </w:rPr>
            </w:pPr>
            <w:r>
              <w:rPr>
                <w:rFonts w:hint="eastAsia" w:asciiTheme="minorEastAsia" w:hAnsiTheme="minorEastAsia" w:eastAsiaTheme="minorEastAsia"/>
                <w:color w:val="000000"/>
                <w:sz w:val="20"/>
                <w:szCs w:val="20"/>
                <w:lang w:val="en-US" w:eastAsia="zh-CN"/>
              </w:rPr>
              <w:t>通风、绿化、垃圾分类；废气回收装置； 废气监测装置等。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cs="Times New Roman" w:asciiTheme="minorEastAsia" w:hAnsiTheme="minorEastAsia" w:eastAsiaTheme="minorEastAsia"/>
                <w:b/>
                <w:color w:val="000000"/>
                <w:sz w:val="20"/>
                <w:szCs w:val="20"/>
              </w:rPr>
            </w:pPr>
            <w:r>
              <w:rPr>
                <w:rFonts w:hint="eastAsia" w:cs="Times New Roman" w:asciiTheme="minorEastAsia" w:hAnsiTheme="minorEastAsia" w:eastAsiaTheme="minorEastAsia"/>
                <w:b/>
                <w:color w:val="000000"/>
                <w:sz w:val="20"/>
                <w:szCs w:val="20"/>
              </w:rPr>
              <w:t>职业健康安全设施：</w:t>
            </w:r>
          </w:p>
          <w:p>
            <w:pPr>
              <w:spacing w:line="240" w:lineRule="exact"/>
              <w:rPr>
                <w:rFonts w:hint="eastAsia"/>
              </w:rPr>
            </w:pPr>
            <w:r>
              <w:rPr>
                <w:rFonts w:hint="eastAsia"/>
                <w:lang w:val="en-US" w:eastAsia="zh-CN"/>
              </w:rPr>
              <w:t>防疫登记、</w:t>
            </w:r>
            <w:r>
              <w:rPr>
                <w:rFonts w:hint="eastAsia"/>
              </w:rPr>
              <w:t>劳保用品、消防器材、标识牌等。</w:t>
            </w:r>
          </w:p>
          <w:p>
            <w:pPr>
              <w:pStyle w:val="2"/>
              <w:ind w:left="0" w:leftChars="0" w:firstLine="0" w:firstLineChars="0"/>
              <w:rPr>
                <w:rFonts w:hint="default" w:ascii="Times New Roman" w:hAnsi="Times New Roman" w:eastAsia="宋体" w:cs="Times New Roman"/>
                <w:kern w:val="2"/>
                <w:sz w:val="28"/>
                <w:szCs w:val="20"/>
                <w:lang w:val="en-US" w:eastAsia="zh-CN" w:bidi="ar-SA"/>
              </w:rPr>
            </w:pPr>
            <w:r>
              <w:rPr>
                <w:rFonts w:hint="eastAsia" w:ascii="Times New Roman" w:hAnsi="Times New Roman" w:eastAsia="宋体" w:cs="Times New Roman"/>
                <w:kern w:val="2"/>
                <w:sz w:val="21"/>
                <w:szCs w:val="24"/>
                <w:lang w:val="en-US" w:eastAsia="zh-CN" w:bidi="ar-SA"/>
              </w:rPr>
              <w:t>车间内噪声危险、机械伤害、化学品告知信息不全、油品存放化学品使用说明（MSDS）未提供。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8"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rFonts w:asciiTheme="minorEastAsia" w:hAnsiTheme="minorEastAsia" w:eastAsiaTheme="minorEastAsia"/>
                <w:b/>
                <w:color w:val="000000"/>
                <w:sz w:val="20"/>
                <w:szCs w:val="20"/>
              </w:rPr>
            </w:pPr>
            <w:r>
              <w:rPr>
                <w:rFonts w:asciiTheme="minorEastAsia" w:hAnsiTheme="minorEastAsia" w:eastAsiaTheme="minorEastAsia"/>
                <w:b/>
                <w:color w:val="000000"/>
                <w:sz w:val="20"/>
                <w:szCs w:val="20"/>
              </w:rPr>
              <w:t xml:space="preserve">1. </w:t>
            </w:r>
            <w:r>
              <w:rPr>
                <w:rFonts w:hint="eastAsia" w:asciiTheme="minorEastAsia" w:hAnsiTheme="minorEastAsia" w:eastAsiaTheme="minorEastAsia"/>
                <w:b/>
                <w:color w:val="000000"/>
                <w:sz w:val="20"/>
                <w:szCs w:val="20"/>
              </w:rPr>
              <w:t>针对方针的管理职责评审</w:t>
            </w:r>
          </w:p>
          <w:p>
            <w:pPr>
              <w:spacing w:line="300" w:lineRule="exact"/>
              <w:ind w:left="1"/>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（包括针对组织宗旨，制定相关管理方针政策、确保方针为员工理解并在运营中实施，监视方针的实施并评审方针的适宜性）</w:t>
            </w:r>
          </w:p>
          <w:p>
            <w:pPr>
              <w:spacing w:line="300" w:lineRule="exact"/>
              <w:ind w:left="1" w:leftChars="0"/>
              <w:rPr>
                <w:rFonts w:cs="Times New Roman" w:asciiTheme="minorEastAsia" w:hAnsiTheme="minorEastAsia" w:eastAsiaTheme="minorEastAsia"/>
                <w:b/>
                <w:color w:val="000000"/>
                <w:kern w:val="2"/>
                <w:sz w:val="20"/>
                <w:szCs w:val="20"/>
                <w:lang w:val="en-US" w:eastAsia="zh-CN" w:bidi="ar-SA"/>
              </w:rPr>
            </w:pPr>
            <w:r>
              <w:rPr>
                <w:rFonts w:hint="eastAsia" w:asciiTheme="minorEastAsia" w:hAnsiTheme="minorEastAsia" w:eastAsiaTheme="minorEastAsia"/>
                <w:szCs w:val="22"/>
              </w:rPr>
              <w:t>根据组织宗旨制定了管理体系方针，进行了有效沟通，在管理评审时进行评审，符合要求</w:t>
            </w:r>
            <w:r>
              <w:rPr>
                <w:rFonts w:hint="eastAsia"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Theme="minorEastAsia" w:hAnsiTheme="minorEastAsia" w:eastAsiaTheme="minorEastAsia"/>
                <w:b/>
                <w:color w:val="000000"/>
                <w:sz w:val="20"/>
                <w:szCs w:val="20"/>
              </w:rPr>
            </w:pPr>
            <w:r>
              <w:rPr>
                <w:rFonts w:asciiTheme="minorEastAsia" w:hAnsiTheme="minorEastAsia" w:eastAsiaTheme="minorEastAsia"/>
                <w:b/>
                <w:color w:val="000000"/>
                <w:sz w:val="20"/>
                <w:szCs w:val="20"/>
              </w:rPr>
              <w:t xml:space="preserve">2. </w:t>
            </w:r>
            <w:r>
              <w:rPr>
                <w:rFonts w:hint="eastAsia" w:asciiTheme="minorEastAsia" w:hAnsiTheme="minorEastAsia" w:eastAsiaTheme="minorEastAsia"/>
                <w:b/>
                <w:color w:val="000000"/>
                <w:sz w:val="20"/>
                <w:szCs w:val="20"/>
              </w:rPr>
              <w:t>组织内部沟通的充分性与效果；（</w:t>
            </w:r>
            <w:r>
              <w:rPr>
                <w:rFonts w:asciiTheme="minorEastAsia" w:hAnsiTheme="minorEastAsia" w:eastAsiaTheme="minorEastAsia"/>
                <w:b/>
                <w:color w:val="000000"/>
                <w:sz w:val="20"/>
                <w:szCs w:val="20"/>
              </w:rPr>
              <w:t>OHSMS</w:t>
            </w:r>
            <w:r>
              <w:rPr>
                <w:rFonts w:hint="eastAsia" w:asciiTheme="minorEastAsia" w:hAnsiTheme="minorEastAsia" w:eastAsiaTheme="minorEastAsia"/>
                <w:b/>
                <w:color w:val="000000"/>
                <w:sz w:val="20"/>
                <w:szCs w:val="20"/>
              </w:rPr>
              <w:t>员工参与风险管理</w:t>
            </w:r>
            <w:r>
              <w:rPr>
                <w:rFonts w:asciiTheme="minorEastAsia" w:hAnsiTheme="minorEastAsia" w:eastAsiaTheme="minorEastAsia"/>
                <w:b/>
                <w:color w:val="000000"/>
                <w:sz w:val="20"/>
                <w:szCs w:val="20"/>
              </w:rPr>
              <w:t>/</w:t>
            </w:r>
            <w:r>
              <w:rPr>
                <w:rFonts w:hint="eastAsia" w:asciiTheme="minorEastAsia" w:hAnsiTheme="minorEastAsia" w:eastAsiaTheme="minorEastAsia"/>
                <w:b/>
                <w:color w:val="000000"/>
                <w:sz w:val="20"/>
                <w:szCs w:val="20"/>
              </w:rPr>
              <w:t>健康安全事务的关心和影响力；组织对外联络关注顾客的感受情况、信息交流包括通报相关方的情况等）</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 xml:space="preserve"> 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目前各项沟通都较为及时、顺畅、效果较好。</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经全体员工大会选举，任命公司</w:t>
            </w:r>
            <w:r>
              <w:rPr>
                <w:rFonts w:hint="eastAsia" w:asciiTheme="minorEastAsia" w:hAnsiTheme="minorEastAsia" w:eastAsiaTheme="minorEastAsia"/>
                <w:color w:val="000000"/>
                <w:sz w:val="20"/>
                <w:szCs w:val="20"/>
                <w:lang w:val="en-US" w:eastAsia="zh-CN"/>
              </w:rPr>
              <w:t>曹玉婷</w:t>
            </w:r>
            <w:r>
              <w:rPr>
                <w:rFonts w:hint="eastAsia" w:asciiTheme="minorEastAsia" w:hAnsiTheme="minorEastAsia" w:eastAsiaTheme="minorEastAsia"/>
                <w:color w:val="000000"/>
                <w:sz w:val="20"/>
                <w:szCs w:val="20"/>
              </w:rPr>
              <w:t>为公司安全事务代表。经与</w:t>
            </w:r>
            <w:r>
              <w:rPr>
                <w:rFonts w:hint="eastAsia" w:asciiTheme="minorEastAsia" w:hAnsiTheme="minorEastAsia" w:eastAsiaTheme="minorEastAsia"/>
                <w:color w:val="000000"/>
                <w:sz w:val="20"/>
                <w:szCs w:val="20"/>
                <w:lang w:val="en-US" w:eastAsia="zh-CN"/>
              </w:rPr>
              <w:t>浦其炳</w:t>
            </w:r>
            <w:r>
              <w:rPr>
                <w:rFonts w:hint="eastAsia" w:asciiTheme="minorEastAsia" w:hAnsiTheme="minorEastAsia" w:eastAsiaTheme="minorEastAsia"/>
                <w:color w:val="000000"/>
                <w:sz w:val="20"/>
                <w:szCs w:val="20"/>
              </w:rPr>
              <w:t>交谈</w:t>
            </w:r>
            <w:r>
              <w:rPr>
                <w:rFonts w:hint="eastAsia" w:asciiTheme="minorEastAsia" w:hAnsiTheme="minorEastAsia" w:eastAsiaTheme="minorEastAsia"/>
                <w:color w:val="000000"/>
                <w:sz w:val="20"/>
                <w:szCs w:val="20"/>
                <w:lang w:val="en-GB"/>
              </w:rPr>
              <w:t>，</w:t>
            </w:r>
            <w:r>
              <w:rPr>
                <w:rFonts w:hint="eastAsia" w:asciiTheme="minorEastAsia" w:hAnsiTheme="minorEastAsia" w:eastAsiaTheme="minorEastAsia"/>
                <w:color w:val="000000"/>
                <w:sz w:val="20"/>
                <w:szCs w:val="20"/>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通过安全事务代表的积极争取，员工的劳保用品得到合理配备并及时发放；员工保险得到按时交纳等。</w:t>
            </w:r>
          </w:p>
          <w:p>
            <w:pPr>
              <w:spacing w:line="240" w:lineRule="exact"/>
              <w:rPr>
                <w:rFonts w:cs="Times New Roman" w:asciiTheme="minorEastAsia" w:hAnsiTheme="minorEastAsia" w:eastAsiaTheme="minorEastAsia"/>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Theme="minorEastAsia" w:hAnsiTheme="minorEastAsia" w:eastAsiaTheme="minorEastAsia"/>
                <w:b/>
                <w:color w:val="000000"/>
                <w:sz w:val="20"/>
                <w:szCs w:val="20"/>
              </w:rPr>
            </w:pPr>
            <w:r>
              <w:rPr>
                <w:rFonts w:asciiTheme="minorEastAsia" w:hAnsiTheme="minorEastAsia" w:eastAsiaTheme="minorEastAsia"/>
                <w:b/>
                <w:color w:val="000000"/>
                <w:sz w:val="20"/>
                <w:szCs w:val="20"/>
              </w:rPr>
              <w:t xml:space="preserve">3.  QMS </w:t>
            </w:r>
            <w:r>
              <w:rPr>
                <w:rFonts w:hint="eastAsia" w:asciiTheme="minorEastAsia" w:hAnsiTheme="minorEastAsia" w:eastAsiaTheme="minorEastAsia"/>
                <w:b/>
                <w:color w:val="000000"/>
                <w:sz w:val="20"/>
                <w:szCs w:val="20"/>
              </w:rPr>
              <w:t>组织对重要过程实施控制的结果</w:t>
            </w:r>
          </w:p>
          <w:p>
            <w:pPr>
              <w:spacing w:line="240" w:lineRule="exact"/>
              <w:ind w:left="188" w:leftChars="42" w:hanging="100" w:hangingChars="50"/>
              <w:rPr>
                <w:rFonts w:asciiTheme="minorEastAsia" w:hAnsiTheme="minorEastAsia" w:eastAsiaTheme="minorEastAsia"/>
                <w:b/>
                <w:color w:val="000000"/>
                <w:sz w:val="20"/>
                <w:szCs w:val="20"/>
              </w:rPr>
            </w:pPr>
            <w:r>
              <w:rPr>
                <w:rFonts w:asciiTheme="minorEastAsia" w:hAnsiTheme="minorEastAsia" w:eastAsiaTheme="minorEastAsia"/>
                <w:b/>
                <w:color w:val="000000"/>
                <w:sz w:val="20"/>
                <w:szCs w:val="20"/>
              </w:rPr>
              <w:t>(</w:t>
            </w:r>
            <w:r>
              <w:rPr>
                <w:rFonts w:hint="eastAsia" w:asciiTheme="minorEastAsia" w:hAnsiTheme="minorEastAsia" w:eastAsiaTheme="minorEastAsia"/>
                <w:b/>
                <w:color w:val="000000"/>
                <w:sz w:val="20"/>
                <w:szCs w:val="20"/>
              </w:rPr>
              <w:t>包括对</w:t>
            </w:r>
            <w:r>
              <w:rPr>
                <w:rFonts w:asciiTheme="minorEastAsia" w:hAnsiTheme="minorEastAsia" w:eastAsiaTheme="minorEastAsia"/>
                <w:b/>
                <w:color w:val="000000"/>
                <w:sz w:val="20"/>
                <w:szCs w:val="20"/>
              </w:rPr>
              <w:t>QMS</w:t>
            </w:r>
            <w:r>
              <w:rPr>
                <w:rFonts w:hint="eastAsia" w:asciiTheme="minorEastAsia" w:hAnsiTheme="minorEastAsia" w:eastAsiaTheme="minorEastAsia"/>
                <w:b/>
                <w:color w:val="000000"/>
                <w:sz w:val="20"/>
                <w:szCs w:val="20"/>
              </w:rPr>
              <w:t>关键工序</w:t>
            </w:r>
            <w:r>
              <w:rPr>
                <w:rFonts w:asciiTheme="minorEastAsia" w:hAnsiTheme="minorEastAsia" w:eastAsiaTheme="minorEastAsia"/>
                <w:b/>
                <w:color w:val="000000"/>
                <w:sz w:val="20"/>
                <w:szCs w:val="20"/>
              </w:rPr>
              <w:t>(</w:t>
            </w:r>
            <w:r>
              <w:rPr>
                <w:rFonts w:hint="eastAsia" w:asciiTheme="minorEastAsia" w:hAnsiTheme="minorEastAsia" w:eastAsiaTheme="minorEastAsia"/>
                <w:b/>
                <w:color w:val="000000"/>
                <w:sz w:val="20"/>
                <w:szCs w:val="20"/>
              </w:rPr>
              <w:t>过程</w:t>
            </w:r>
            <w:r>
              <w:rPr>
                <w:rFonts w:asciiTheme="minorEastAsia" w:hAnsiTheme="minorEastAsia" w:eastAsiaTheme="minorEastAsia"/>
                <w:b/>
                <w:color w:val="000000"/>
                <w:sz w:val="20"/>
                <w:szCs w:val="20"/>
              </w:rPr>
              <w:t>)</w:t>
            </w:r>
            <w:r>
              <w:rPr>
                <w:rFonts w:hint="eastAsia" w:asciiTheme="minorEastAsia" w:hAnsiTheme="minorEastAsia" w:eastAsiaTheme="minorEastAsia"/>
                <w:b/>
                <w:color w:val="000000"/>
                <w:sz w:val="20"/>
                <w:szCs w:val="20"/>
              </w:rPr>
              <w:t>、特殊过程控制</w:t>
            </w:r>
            <w:r>
              <w:rPr>
                <w:rFonts w:asciiTheme="minorEastAsia" w:hAnsiTheme="minorEastAsia" w:eastAsiaTheme="minorEastAsia"/>
                <w:b/>
                <w:color w:val="000000"/>
                <w:sz w:val="20"/>
                <w:szCs w:val="20"/>
              </w:rPr>
              <w:t>;</w:t>
            </w:r>
            <w:r>
              <w:rPr>
                <w:rFonts w:hint="eastAsia" w:asciiTheme="minorEastAsia" w:hAnsiTheme="minorEastAsia" w:eastAsiaTheme="minorEastAsia"/>
                <w:b/>
                <w:color w:val="000000"/>
                <w:sz w:val="20"/>
                <w:szCs w:val="20"/>
              </w:rPr>
              <w:t>评价组织对过程实施控制情况</w:t>
            </w:r>
            <w:r>
              <w:rPr>
                <w:rFonts w:asciiTheme="minorEastAsia" w:hAnsiTheme="minorEastAsia" w:eastAsiaTheme="minorEastAsia"/>
                <w:b/>
                <w:color w:val="000000"/>
                <w:sz w:val="20"/>
                <w:szCs w:val="20"/>
              </w:rPr>
              <w:t>/)</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公司依据客户订单，下达生产计划，接到定单后召开生产会议，进行生产、质量及管理工作协调。</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通过原材料</w:t>
            </w:r>
            <w:r>
              <w:rPr>
                <w:rFonts w:hint="eastAsia" w:asciiTheme="minorEastAsia" w:hAnsiTheme="minorEastAsia" w:eastAsiaTheme="minorEastAsia"/>
                <w:color w:val="000000"/>
                <w:sz w:val="20"/>
                <w:szCs w:val="20"/>
                <w:lang w:val="en-US" w:eastAsia="zh-CN"/>
              </w:rPr>
              <w:t>部件</w:t>
            </w:r>
            <w:r>
              <w:rPr>
                <w:rFonts w:hint="eastAsia" w:asciiTheme="minorEastAsia" w:hAnsiTheme="minorEastAsia" w:eastAsiaTheme="minorEastAsia"/>
                <w:color w:val="000000"/>
                <w:sz w:val="20"/>
                <w:szCs w:val="20"/>
              </w:rPr>
              <w:t>检验、过程检验、成品检验等过程对产品质量、生产进度等进行监控。</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为生产过程提供了适宜的设备及环境，配备了胜任的人员。</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公司按照制定的产品检验规程、作业指导书、原料进货检验规程等文件对产品的生产和检验过程实施了过程控制。</w:t>
            </w:r>
          </w:p>
          <w:p>
            <w:pPr>
              <w:spacing w:line="240" w:lineRule="exact"/>
              <w:rPr>
                <w:rFonts w:cs="Times New Roman" w:asciiTheme="minorEastAsia" w:hAnsiTheme="minorEastAsia" w:eastAsiaTheme="minorEastAsia"/>
                <w:b/>
                <w:color w:val="000000"/>
                <w:kern w:val="2"/>
                <w:sz w:val="20"/>
                <w:szCs w:val="20"/>
                <w:lang w:val="en-US" w:eastAsia="zh-CN" w:bidi="ar-SA"/>
              </w:rPr>
            </w:pPr>
            <w:r>
              <w:rPr>
                <w:rFonts w:hint="eastAsia" w:asciiTheme="minorEastAsia" w:hAnsiTheme="minorEastAsia" w:eastAsiaTheme="minorEastAsia"/>
                <w:color w:val="000000"/>
                <w:sz w:val="20"/>
                <w:szCs w:val="20"/>
              </w:rPr>
              <w:t>对</w:t>
            </w:r>
            <w:r>
              <w:rPr>
                <w:rFonts w:hint="eastAsia" w:asciiTheme="minorEastAsia" w:hAnsiTheme="minorEastAsia" w:eastAsiaTheme="minorEastAsia"/>
                <w:color w:val="000000"/>
                <w:sz w:val="20"/>
                <w:szCs w:val="20"/>
                <w:lang w:val="en-US" w:eastAsia="zh-CN"/>
              </w:rPr>
              <w:t>拉丝和漆包</w:t>
            </w:r>
            <w:r>
              <w:rPr>
                <w:rFonts w:hint="eastAsia" w:asciiTheme="minorEastAsia" w:hAnsiTheme="minorEastAsia" w:eastAsiaTheme="minorEastAsia"/>
                <w:color w:val="000000"/>
                <w:sz w:val="20"/>
                <w:szCs w:val="20"/>
              </w:rPr>
              <w:t>过程进行了确认</w:t>
            </w:r>
            <w:r>
              <w:rPr>
                <w:rFonts w:hint="eastAsia" w:asciiTheme="minorEastAsia" w:hAnsiTheme="minorEastAsia" w:eastAsiaTheme="minorEastAsia"/>
                <w:color w:val="000000"/>
                <w:sz w:val="20"/>
                <w:szCs w:val="20"/>
                <w:lang w:eastAsia="zh-CN"/>
              </w:rPr>
              <w:t>，</w:t>
            </w:r>
            <w:r>
              <w:rPr>
                <w:rFonts w:hint="eastAsia" w:asciiTheme="minorEastAsia" w:hAnsiTheme="minorEastAsia" w:eastAsiaTheme="minorEastAsia"/>
                <w:color w:val="000000"/>
                <w:sz w:val="20"/>
                <w:szCs w:val="20"/>
                <w:lang w:val="en-US" w:eastAsia="zh-CN"/>
              </w:rPr>
              <w:t>但未提供相关</w:t>
            </w:r>
            <w:r>
              <w:rPr>
                <w:rFonts w:hint="eastAsia" w:asciiTheme="minorEastAsia" w:hAnsiTheme="minorEastAsia" w:eastAsiaTheme="minorEastAsia"/>
                <w:color w:val="000000"/>
                <w:sz w:val="20"/>
                <w:szCs w:val="20"/>
              </w:rPr>
              <w:t>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rFonts w:asciiTheme="minorEastAsia" w:hAnsiTheme="minorEastAsia" w:eastAsiaTheme="minorEastAsia"/>
                <w:b/>
                <w:color w:val="000000"/>
                <w:sz w:val="20"/>
                <w:szCs w:val="20"/>
              </w:rPr>
            </w:pPr>
            <w:r>
              <w:rPr>
                <w:rFonts w:asciiTheme="minorEastAsia" w:hAnsiTheme="minorEastAsia" w:eastAsiaTheme="minorEastAsia"/>
                <w:b/>
                <w:color w:val="000000"/>
                <w:sz w:val="20"/>
                <w:szCs w:val="20"/>
              </w:rPr>
              <w:t>4.QMS</w:t>
            </w:r>
            <w:r>
              <w:rPr>
                <w:rFonts w:hint="eastAsia" w:asciiTheme="minorEastAsia" w:hAnsiTheme="minorEastAsia" w:eastAsiaTheme="minorEastAsia"/>
                <w:b/>
                <w:color w:val="000000"/>
                <w:sz w:val="20"/>
                <w:szCs w:val="20"/>
              </w:rPr>
              <w:t>产品</w:t>
            </w:r>
            <w:r>
              <w:rPr>
                <w:rFonts w:asciiTheme="minorEastAsia" w:hAnsiTheme="minorEastAsia" w:eastAsiaTheme="minorEastAsia"/>
                <w:b/>
                <w:color w:val="000000"/>
                <w:sz w:val="20"/>
                <w:szCs w:val="20"/>
              </w:rPr>
              <w:t>/</w:t>
            </w:r>
            <w:r>
              <w:rPr>
                <w:rFonts w:hint="eastAsia" w:asciiTheme="minorEastAsia" w:hAnsiTheme="minorEastAsia" w:eastAsiaTheme="minorEastAsia"/>
                <w:b/>
                <w:color w:val="000000"/>
                <w:sz w:val="20"/>
                <w:szCs w:val="20"/>
              </w:rPr>
              <w:t>服务的标准、协议</w:t>
            </w:r>
            <w:r>
              <w:rPr>
                <w:rFonts w:asciiTheme="minorEastAsia" w:hAnsiTheme="minorEastAsia" w:eastAsiaTheme="minorEastAsia"/>
                <w:b/>
                <w:color w:val="000000"/>
                <w:sz w:val="20"/>
                <w:szCs w:val="20"/>
              </w:rPr>
              <w:t>/</w:t>
            </w:r>
            <w:r>
              <w:rPr>
                <w:rFonts w:hint="eastAsia" w:asciiTheme="minorEastAsia" w:hAnsiTheme="minorEastAsia" w:eastAsiaTheme="minorEastAsia"/>
                <w:b/>
                <w:color w:val="000000"/>
                <w:sz w:val="20"/>
                <w:szCs w:val="20"/>
              </w:rPr>
              <w:t>规范的有效性以及产品</w:t>
            </w:r>
            <w:r>
              <w:rPr>
                <w:rFonts w:asciiTheme="minorEastAsia" w:hAnsiTheme="minorEastAsia" w:eastAsiaTheme="minorEastAsia"/>
                <w:b/>
                <w:color w:val="000000"/>
                <w:sz w:val="20"/>
                <w:szCs w:val="20"/>
              </w:rPr>
              <w:t>/</w:t>
            </w:r>
            <w:r>
              <w:rPr>
                <w:rFonts w:hint="eastAsia" w:asciiTheme="minorEastAsia" w:hAnsiTheme="minorEastAsia" w:eastAsiaTheme="minorEastAsia"/>
                <w:b/>
                <w:color w:val="000000"/>
                <w:sz w:val="20"/>
                <w:szCs w:val="20"/>
              </w:rPr>
              <w:t>服务质量符合要求，向顾客稳定提供合格产品的情况；</w:t>
            </w:r>
          </w:p>
          <w:p>
            <w:pPr>
              <w:spacing w:line="240" w:lineRule="exact"/>
              <w:rPr>
                <w:rFonts w:hint="eastAsia" w:asciiTheme="minorEastAsia" w:hAnsiTheme="minorEastAsia" w:eastAsiaTheme="minorEastAsia"/>
                <w:color w:val="000000"/>
                <w:sz w:val="20"/>
                <w:szCs w:val="20"/>
                <w:lang w:val="zh-CN" w:eastAsia="zh-CN"/>
              </w:rPr>
            </w:pPr>
            <w:r>
              <w:rPr>
                <w:rFonts w:hint="eastAsia" w:asciiTheme="minorEastAsia" w:hAnsiTheme="minorEastAsia" w:eastAsiaTheme="minorEastAsia"/>
                <w:color w:val="000000"/>
                <w:sz w:val="20"/>
                <w:szCs w:val="20"/>
                <w:lang w:val="zh-CN" w:eastAsia="zh-CN"/>
              </w:rPr>
              <w:t>提供</w:t>
            </w:r>
            <w:r>
              <w:rPr>
                <w:rFonts w:hint="eastAsia" w:asciiTheme="minorEastAsia" w:hAnsiTheme="minorEastAsia" w:eastAsiaTheme="minorEastAsia"/>
                <w:color w:val="000000"/>
                <w:sz w:val="20"/>
                <w:szCs w:val="20"/>
                <w:lang w:val="en-US" w:eastAsia="zh-CN"/>
              </w:rPr>
              <w:t>客户交付使用确认</w:t>
            </w:r>
            <w:r>
              <w:rPr>
                <w:rFonts w:hint="eastAsia" w:asciiTheme="minorEastAsia" w:hAnsiTheme="minorEastAsia" w:eastAsiaTheme="minorEastAsia"/>
                <w:color w:val="000000"/>
                <w:sz w:val="20"/>
                <w:szCs w:val="20"/>
                <w:lang w:val="zh-CN" w:eastAsia="zh-CN"/>
              </w:rPr>
              <w:t>报告和产品校准证书，产品经检验合格。</w:t>
            </w:r>
          </w:p>
          <w:p>
            <w:pPr>
              <w:spacing w:line="240" w:lineRule="exact"/>
              <w:rPr>
                <w:rFonts w:hint="eastAsia" w:asciiTheme="minorEastAsia" w:hAnsiTheme="minorEastAsia" w:eastAsiaTheme="minorEastAsia"/>
                <w:color w:val="000000"/>
                <w:sz w:val="20"/>
                <w:szCs w:val="20"/>
                <w:lang w:val="zh-CN" w:eastAsia="zh-CN"/>
              </w:rPr>
            </w:pPr>
            <w:r>
              <w:rPr>
                <w:rFonts w:hint="eastAsia" w:asciiTheme="minorEastAsia" w:hAnsiTheme="minorEastAsia" w:eastAsiaTheme="minorEastAsia"/>
                <w:color w:val="000000"/>
                <w:sz w:val="20"/>
                <w:szCs w:val="20"/>
                <w:lang w:val="zh-CN" w:eastAsia="zh-CN"/>
              </w:rPr>
              <w:t>公司通过电话，走访等形式，接受顾客反馈，了解顾客满意度信息，发放调查表对顾客满意度进行定量测量。</w:t>
            </w:r>
          </w:p>
          <w:p>
            <w:pPr>
              <w:spacing w:line="240" w:lineRule="exac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zh-CN" w:eastAsia="zh-CN"/>
              </w:rPr>
              <w:t>提供“顾客满意程度调查表”，调查结果满意度达到</w:t>
            </w:r>
            <w:r>
              <w:rPr>
                <w:rFonts w:hint="eastAsia" w:asciiTheme="minorEastAsia" w:hAnsiTheme="minorEastAsia" w:eastAsiaTheme="minorEastAsia"/>
                <w:color w:val="000000"/>
                <w:sz w:val="20"/>
                <w:szCs w:val="20"/>
                <w:lang w:val="en-US" w:eastAsia="zh-CN"/>
              </w:rPr>
              <w:t xml:space="preserve"> 97.4</w:t>
            </w:r>
            <w:r>
              <w:rPr>
                <w:rFonts w:hint="eastAsia" w:asciiTheme="minorEastAsia" w:hAnsiTheme="minorEastAsia" w:eastAsiaTheme="minorEastAsia"/>
                <w:color w:val="000000"/>
                <w:sz w:val="20"/>
                <w:szCs w:val="20"/>
                <w:lang w:val="zh-CN" w:eastAsia="zh-CN"/>
              </w:rPr>
              <w:t>%，满足目标要求。</w:t>
            </w:r>
          </w:p>
          <w:p>
            <w:pPr>
              <w:spacing w:line="240" w:lineRule="exact"/>
              <w:rPr>
                <w:rFonts w:asciiTheme="minorEastAsia" w:hAnsiTheme="minorEastAsia" w:eastAsiaTheme="minorEastAsia"/>
                <w:b/>
                <w:color w:val="000000"/>
                <w:sz w:val="20"/>
                <w:szCs w:val="20"/>
              </w:rPr>
            </w:pPr>
          </w:p>
          <w:p>
            <w:pPr>
              <w:spacing w:line="240" w:lineRule="exact"/>
              <w:rPr>
                <w:rFonts w:asciiTheme="minorEastAsia" w:hAnsiTheme="minorEastAsia" w:eastAsiaTheme="minorEastAsia"/>
                <w:b/>
                <w:color w:val="000000"/>
                <w:sz w:val="20"/>
                <w:szCs w:val="20"/>
              </w:rPr>
            </w:pPr>
            <w:r>
              <w:rPr>
                <w:rFonts w:asciiTheme="minorEastAsia" w:hAnsiTheme="minorEastAsia" w:eastAsiaTheme="minorEastAsia"/>
                <w:b/>
                <w:color w:val="000000"/>
                <w:sz w:val="20"/>
                <w:szCs w:val="20"/>
              </w:rPr>
              <w:t>(</w:t>
            </w:r>
            <w:r>
              <w:rPr>
                <w:rFonts w:hint="eastAsia" w:asciiTheme="minorEastAsia" w:hAnsiTheme="minorEastAsia" w:eastAsiaTheme="minorEastAsia"/>
                <w:b/>
                <w:color w:val="000000"/>
                <w:sz w:val="20"/>
                <w:szCs w:val="20"/>
              </w:rPr>
              <w:t>应说明相关证据</w:t>
            </w:r>
            <w:r>
              <w:rPr>
                <w:rFonts w:asciiTheme="minorEastAsia" w:hAnsiTheme="minorEastAsia" w:eastAsiaTheme="minorEastAsia"/>
                <w:b/>
                <w:color w:val="000000"/>
                <w:sz w:val="20"/>
                <w:szCs w:val="20"/>
              </w:rPr>
              <w:t>)</w:t>
            </w:r>
            <w:r>
              <w:rPr>
                <w:rFonts w:hint="eastAsia" w:asciiTheme="minorEastAsia" w:hAnsiTheme="minorEastAsia" w:eastAsiaTheme="minorEastAsia"/>
                <w:b/>
                <w:color w:val="000000"/>
                <w:sz w:val="20"/>
                <w:szCs w:val="20"/>
              </w:rPr>
              <w:t>：</w:t>
            </w:r>
          </w:p>
          <w:p>
            <w:pPr>
              <w:spacing w:line="240" w:lineRule="exact"/>
              <w:rPr>
                <w:rFonts w:cs="Times New Roman" w:asciiTheme="minorEastAsia" w:hAnsiTheme="minorEastAsia" w:eastAsiaTheme="minorEastAsia"/>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default" w:eastAsia="宋体"/>
                <w:b/>
                <w:color w:val="000000" w:themeColor="text1"/>
                <w:sz w:val="20"/>
                <w:szCs w:val="20"/>
                <w:lang w:val="en-US" w:eastAsia="zh-CN"/>
              </w:rPr>
            </w:pPr>
            <w:r>
              <w:rPr>
                <w:rFonts w:hint="eastAsia"/>
                <w:b/>
                <w:color w:val="000000" w:themeColor="text1"/>
                <w:sz w:val="20"/>
                <w:szCs w:val="20"/>
                <w:lang w:val="en-US" w:eastAsia="zh-CN"/>
              </w:rPr>
              <w:t>提供漆包线产品型式检验报告；无国家抽查情况；</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Theme="minorEastAsia" w:hAnsiTheme="minorEastAsia" w:eastAsiaTheme="minor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查到环评信息，环评报告批复和验收申请的单位为湖州市练市神龙电讯厂128号；排污许可证编号：913305036639305673001W;  又提供：；经核查，浙江鼎强电气科技有限公司的生产过程、生产线、生产量均与湖州市练市神龙电讯厂环评批复验收的信息一致；</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湖州市练市神龙电讯厂的环评批复文件为湖环建[2007]128号，环评验收意见文件为湖环建验[2010]63号；</w:t>
            </w:r>
          </w:p>
          <w:p>
            <w:pPr>
              <w:spacing w:line="280" w:lineRule="exact"/>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    公司实施安全标准化管理，并通过南浔区验收。</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浙江鼎强电气科技有限公司租用湖州市练市神龙电讯厂的厂房，湖州市练市神龙电讯厂实际与浙江鼎强电气科技有限公司一套班子，两块牌子； 且湖州市练市神龙电讯厂公司无实际生产量。</w:t>
            </w:r>
          </w:p>
          <w:p>
            <w:pPr>
              <w:spacing w:line="280" w:lineRule="exact"/>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提供环境因素和危害因子的监测报告。</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1、废水管控</w:t>
            </w:r>
          </w:p>
          <w:p>
            <w:pPr>
              <w:spacing w:line="280" w:lineRule="exact"/>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生产过程中不产生生产污水，主要生活废水排入政府污水管网统一处理。环评规定不允许企业排放工业污水。废油、液等以危险废物处理。</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2、废气管控</w:t>
            </w:r>
          </w:p>
          <w:p>
            <w:pPr>
              <w:spacing w:line="280" w:lineRule="exact"/>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办公现场基本无废气排放。包漆车间装有装有废气自动在线监测装置（环保局要求安装），排放废气信息直接接入环保监测平台；未有超标排放情况；</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3、噪声管控</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办公噪声主要是复印机运行，噪声较低，采取措施按时清洁保养。</w:t>
            </w:r>
          </w:p>
          <w:p>
            <w:pPr>
              <w:spacing w:line="280" w:lineRule="exact"/>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车间机械噪声发放耳塞劳保用品进行防护。</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4、固废管控</w:t>
            </w:r>
          </w:p>
          <w:p>
            <w:pPr>
              <w:spacing w:line="280" w:lineRule="exact"/>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生产过程产生的拉丝用废油、废聚氨酯漆、废催化剂、废皂化液、废抹布、废油泥、溶剂油、废乳化液、废毛毡、铜泥等，以及包装材料； 包装材料由供应商厂家回收，采购协议中明确要求。其他固废按危险固废处理，公司与浙江金泰莱环保科技有限公司签订《危险废物处置合同》，列入合同的有四类为国家危险废物目录内废物。</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主要为生活垃圾，办公室有垃圾篓集中倒入垃圾站由市政环卫运送至统一地点集中处理，提供与村委会签订的垃圾清运协议。</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5、能源资源管控</w:t>
            </w:r>
          </w:p>
          <w:p>
            <w:pPr>
              <w:spacing w:line="280" w:lineRule="exact"/>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销售过程注意节水、节电、节油，人走关闭开关，现场采用声控节能灯，未发现有漏水和浪费电能的现象。查看《年资源能运消耗统计表》对2021年1月-5月的的电、水的消耗进行记录。水、电的消耗控制出现下降趋势，4月电消耗出现上升趋势，5月控制后下降。</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6、潜在火灾管控</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公司办公室现场配备灭火器，提供了防安全检查相关记录。</w:t>
            </w:r>
          </w:p>
          <w:p>
            <w:pPr>
              <w:spacing w:line="280" w:lineRule="exact"/>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查运行记录：3月查每月进行工作环境、安全检查记录，涉及内容包含：消防通道、消防器材，作业环境，化学品适用储存，人员作业等方面的检查，检查人曹玉婷，审批张金方。未出现不合格情况。。</w:t>
            </w:r>
          </w:p>
          <w:p>
            <w:pPr>
              <w:spacing w:line="240" w:lineRule="exact"/>
              <w:rPr>
                <w:b/>
                <w:color w:val="000000" w:themeColor="text1"/>
                <w:sz w:val="20"/>
                <w:szCs w:val="20"/>
              </w:rPr>
            </w:pPr>
            <w:r>
              <w:rPr>
                <w:rFonts w:hint="eastAsia" w:ascii="宋体" w:hAnsi="宋体" w:cs="宋体"/>
                <w:szCs w:val="21"/>
              </w:rPr>
              <w:t>现场巡视：本部门布局合理，办公现场光照、温度适宜，无水龙头跑冒滴漏现象。现场电器、线路完好无破损，未发现私接乱接电气线路用电不当等安全隐患及不良环境影响现象。部门日常办公活动中，加强用电安全，防止触电事故和火灾事故的发生。用毕电脑关闭电源，最后离开部门人员随手关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lang w:val="en-US" w:eastAsia="zh-CN"/>
              </w:rPr>
              <w:t>8.</w:t>
            </w:r>
            <w:r>
              <w:rPr>
                <w:rFonts w:hint="eastAsia" w:ascii="Times New Roman" w:hAnsi="Times New Roman" w:eastAsia="宋体" w:cs="Times New Roman"/>
                <w:b/>
                <w:color w:val="000000" w:themeColor="text1"/>
                <w:sz w:val="20"/>
                <w:szCs w:val="20"/>
              </w:rPr>
              <w:t>OHSMS组织对不可接受风险实施控制的结果</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1、潜在火灾管控</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公司办公室现场配备灭火器，提供了防安全检查相关记录。</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2、噪声管控</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办公噪声主要是复印机运行，噪声较低，采取措施按时清洁保养。监测超标，车间机械噪声发放耳塞劳保用品进行防护。</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3、化学因子危害</w:t>
            </w:r>
          </w:p>
          <w:p>
            <w:pPr>
              <w:spacing w:line="280" w:lineRule="exact"/>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安全监测未超标，岗位要求佩戴口罩</w:t>
            </w:r>
            <w:r>
              <w:rPr>
                <w:rFonts w:hint="eastAsia"/>
                <w:color w:val="000000"/>
                <w:sz w:val="20"/>
                <w:szCs w:val="20"/>
                <w:lang w:val="en-US" w:eastAsia="zh-CN"/>
              </w:rPr>
              <w:t xml:space="preserve">，由生产部统一发放口罩； </w:t>
            </w:r>
          </w:p>
          <w:p>
            <w:pPr>
              <w:tabs>
                <w:tab w:val="left" w:pos="2100"/>
              </w:tabs>
              <w:spacing w:line="280" w:lineRule="exact"/>
              <w:ind w:firstLine="421"/>
              <w:rPr>
                <w:rFonts w:hint="eastAsia" w:ascii="宋体" w:hAnsi="宋体" w:cs="宋体"/>
                <w:szCs w:val="21"/>
                <w:lang w:val="en-US" w:eastAsia="zh-CN"/>
              </w:rPr>
            </w:pPr>
            <w:r>
              <w:rPr>
                <w:rFonts w:hint="eastAsia" w:ascii="宋体" w:hAnsi="宋体" w:cs="宋体"/>
                <w:szCs w:val="21"/>
                <w:lang w:val="en-US" w:eastAsia="zh-CN"/>
              </w:rPr>
              <w:t>4、机械伤害</w:t>
            </w:r>
          </w:p>
          <w:p>
            <w:pPr>
              <w:tabs>
                <w:tab w:val="left" w:pos="2100"/>
              </w:tabs>
              <w:spacing w:line="280" w:lineRule="exact"/>
              <w:ind w:firstLine="421"/>
              <w:rPr>
                <w:rFonts w:hint="eastAsia" w:ascii="宋体" w:hAnsi="宋体" w:cs="宋体"/>
                <w:szCs w:val="21"/>
                <w:lang w:val="en-US" w:eastAsia="zh-CN"/>
              </w:rPr>
            </w:pPr>
            <w:r>
              <w:rPr>
                <w:rFonts w:hint="eastAsia" w:ascii="宋体" w:hAnsi="宋体" w:cs="宋体"/>
                <w:szCs w:val="21"/>
                <w:lang w:val="en-US" w:eastAsia="zh-CN"/>
              </w:rPr>
              <w:t>识别机械伤害危险源场所，使用防护网（罩）、机械安全按扭、现场张贴安全告知信息等措施管理； 提供相关检查记录。</w:t>
            </w:r>
          </w:p>
          <w:p>
            <w:pPr>
              <w:spacing w:line="280" w:lineRule="exact"/>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5、安全防护及防疫控制</w:t>
            </w:r>
          </w:p>
          <w:p>
            <w:pPr>
              <w:spacing w:line="28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车间使用劳保用品由生产部发放。</w:t>
            </w:r>
          </w:p>
          <w:p>
            <w:pPr>
              <w:spacing w:line="280" w:lineRule="exact"/>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疫情防控进出人员体温检测，要求人员外出佩戴口罩；由办公室统一发放。</w:t>
            </w:r>
          </w:p>
          <w:p>
            <w:pPr>
              <w:spacing w:line="280" w:lineRule="exact"/>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查运行记录：3月查每月进行工作环境、安全检查记录，涉及内容包含：消防通道、消防器材，作业环境，化学品适用储存，人员作业等方面的检查，检查人曹玉婷，审批张金方。未出现不合格情况。</w:t>
            </w:r>
          </w:p>
          <w:p>
            <w:pPr>
              <w:spacing w:line="280" w:lineRule="exact"/>
              <w:ind w:firstLine="420" w:firstLineChars="200"/>
            </w:pPr>
            <w:r>
              <w:rPr>
                <w:rFonts w:hint="eastAsia" w:ascii="Times New Roman" w:hAnsi="Times New Roman" w:eastAsia="宋体" w:cs="Times New Roman"/>
                <w:highlight w:val="none"/>
                <w:lang w:val="en-US" w:eastAsia="zh-CN"/>
              </w:rPr>
              <w:t>现场巡视：本部门布局合理，办公现场光照、温度适宜，无水龙头跑冒滴漏现象。现场电器、线路完好无破损，未发现私接乱接电气线路用电不当等安全隐患及不良环境影响现象。部门日常办公活动中，加强用电安全，防止触电事故和火灾事故的发生。用毕电脑关闭电源，最后离开部门人员随手关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pStyle w:val="22"/>
              <w:spacing w:line="280" w:lineRule="exact"/>
              <w:rPr>
                <w:sz w:val="21"/>
                <w:szCs w:val="21"/>
                <w:highlight w:val="none"/>
              </w:rPr>
            </w:pPr>
            <w:r>
              <w:rPr>
                <w:rFonts w:hint="eastAsia" w:ascii="宋体" w:hAnsi="宋体"/>
                <w:sz w:val="21"/>
                <w:szCs w:val="21"/>
                <w:highlight w:val="none"/>
              </w:rPr>
              <w:t>编制了《应急准备和响应管理程序》</w:t>
            </w:r>
            <w:r>
              <w:rPr>
                <w:rFonts w:hint="eastAsia"/>
                <w:sz w:val="21"/>
                <w:szCs w:val="21"/>
                <w:highlight w:val="none"/>
              </w:rPr>
              <w:t>，查看内容基本符合要求。</w:t>
            </w:r>
          </w:p>
          <w:p>
            <w:pPr>
              <w:pStyle w:val="22"/>
              <w:spacing w:line="280" w:lineRule="exact"/>
              <w:ind w:firstLineChars="0"/>
              <w:rPr>
                <w:sz w:val="21"/>
                <w:szCs w:val="21"/>
                <w:highlight w:val="none"/>
              </w:rPr>
            </w:pPr>
            <w:r>
              <w:rPr>
                <w:rFonts w:hint="eastAsia"/>
                <w:sz w:val="21"/>
                <w:szCs w:val="21"/>
                <w:highlight w:val="none"/>
              </w:rPr>
              <w:t>策划了应急预案包括触电、火灾</w:t>
            </w:r>
            <w:r>
              <w:rPr>
                <w:rFonts w:hint="eastAsia"/>
                <w:sz w:val="21"/>
                <w:szCs w:val="21"/>
                <w:highlight w:val="none"/>
                <w:lang w:eastAsia="zh-CN"/>
              </w:rPr>
              <w:t>、</w:t>
            </w:r>
            <w:r>
              <w:rPr>
                <w:rFonts w:hint="eastAsia"/>
                <w:sz w:val="21"/>
                <w:szCs w:val="21"/>
                <w:highlight w:val="none"/>
                <w:lang w:val="en-US" w:eastAsia="zh-CN"/>
              </w:rPr>
              <w:t>爆炸、关键设备停机</w:t>
            </w:r>
            <w:r>
              <w:rPr>
                <w:rFonts w:hint="eastAsia"/>
                <w:sz w:val="21"/>
                <w:szCs w:val="21"/>
                <w:highlight w:val="none"/>
              </w:rPr>
              <w:t>等应急预案。</w:t>
            </w:r>
          </w:p>
          <w:p>
            <w:pPr>
              <w:pStyle w:val="22"/>
              <w:spacing w:line="280" w:lineRule="exact"/>
              <w:ind w:firstLineChars="0"/>
              <w:rPr>
                <w:sz w:val="21"/>
                <w:szCs w:val="21"/>
                <w:highlight w:val="none"/>
              </w:rPr>
            </w:pPr>
            <w:r>
              <w:rPr>
                <w:rFonts w:hint="eastAsia"/>
                <w:sz w:val="21"/>
                <w:szCs w:val="21"/>
                <w:highlight w:val="none"/>
              </w:rPr>
              <w:t>查应急预案评估报告，通过以上评估，公司应急预案的制定基本合理。</w:t>
            </w:r>
          </w:p>
          <w:p>
            <w:pPr>
              <w:pStyle w:val="22"/>
              <w:spacing w:line="280" w:lineRule="exact"/>
              <w:ind w:firstLineChars="0"/>
              <w:rPr>
                <w:sz w:val="21"/>
                <w:szCs w:val="21"/>
                <w:highlight w:val="none"/>
              </w:rPr>
            </w:pPr>
            <w:r>
              <w:rPr>
                <w:rFonts w:hint="eastAsia"/>
                <w:sz w:val="21"/>
                <w:szCs w:val="21"/>
                <w:highlight w:val="none"/>
              </w:rPr>
              <w:t>公司进行了消防灭火演练，查应急演练记录。</w:t>
            </w:r>
          </w:p>
          <w:p>
            <w:pPr>
              <w:spacing w:line="240" w:lineRule="exact"/>
              <w:rPr>
                <w:b/>
                <w:color w:val="000000" w:themeColor="text1"/>
                <w:spacing w:val="-4"/>
                <w:sz w:val="20"/>
                <w:szCs w:val="20"/>
              </w:rPr>
            </w:pPr>
            <w:r>
              <w:rPr>
                <w:rFonts w:hint="default" w:ascii="Times New Roman" w:hAnsi="Times New Roman" w:cs="Times New Roman"/>
                <w:sz w:val="21"/>
                <w:szCs w:val="21"/>
                <w:highlight w:val="none"/>
              </w:rPr>
              <w:t>查</w:t>
            </w:r>
            <w:r>
              <w:rPr>
                <w:rFonts w:hint="default" w:ascii="Times New Roman" w:hAnsi="Times New Roman" w:cs="Times New Roman"/>
                <w:sz w:val="21"/>
                <w:szCs w:val="21"/>
                <w:highlight w:val="none"/>
                <w:lang w:val="en-US" w:eastAsia="zh-CN"/>
              </w:rPr>
              <w:t>触电演习，演练时间2021.3.10，地点生产车间，参加演习人员：</w:t>
            </w:r>
            <w:r>
              <w:rPr>
                <w:rFonts w:hint="eastAsia" w:ascii="Times New Roman" w:hAnsi="Times New Roman" w:cs="Times New Roman"/>
                <w:sz w:val="21"/>
                <w:szCs w:val="21"/>
                <w:highlight w:val="none"/>
                <w:lang w:val="en-US" w:eastAsia="zh-CN"/>
              </w:rPr>
              <w:t>张金方</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曹玉婷</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潘建勇</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杨知亮、严新华</w:t>
            </w:r>
            <w:r>
              <w:rPr>
                <w:rFonts w:hint="default" w:ascii="Times New Roman" w:hAnsi="Times New Roman" w:cs="Times New Roman"/>
                <w:sz w:val="21"/>
                <w:szCs w:val="21"/>
                <w:highlight w:val="none"/>
                <w:lang w:val="en-US" w:eastAsia="zh-CN"/>
              </w:rPr>
              <w:t>等10人，对演练过程进行描述；查</w:t>
            </w:r>
            <w:r>
              <w:rPr>
                <w:rFonts w:hint="default" w:ascii="Times New Roman" w:hAnsi="Times New Roman" w:cs="Times New Roman"/>
                <w:sz w:val="21"/>
                <w:szCs w:val="21"/>
                <w:highlight w:val="none"/>
              </w:rPr>
              <w:t>消防灭火演练，演练时间202</w:t>
            </w:r>
            <w:r>
              <w:rPr>
                <w:rFonts w:hint="default"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rPr>
              <w:t>.2</w:t>
            </w:r>
            <w:r>
              <w:rPr>
                <w:rFonts w:hint="default" w:ascii="Times New Roman" w:hAnsi="Times New Roman" w:cs="Times New Roman"/>
                <w:sz w:val="21"/>
                <w:szCs w:val="21"/>
                <w:highlight w:val="none"/>
                <w:lang w:val="en-US" w:eastAsia="zh-CN"/>
              </w:rPr>
              <w:t>0</w:t>
            </w:r>
            <w:r>
              <w:rPr>
                <w:rFonts w:hint="default" w:ascii="Times New Roman" w:hAnsi="Times New Roman" w:cs="Times New Roman"/>
                <w:sz w:val="21"/>
                <w:szCs w:val="21"/>
                <w:highlight w:val="none"/>
              </w:rPr>
              <w:t>，地点</w:t>
            </w:r>
            <w:r>
              <w:rPr>
                <w:rFonts w:hint="default" w:ascii="Times New Roman" w:hAnsi="Times New Roman" w:cs="Times New Roman"/>
                <w:sz w:val="21"/>
                <w:szCs w:val="21"/>
                <w:highlight w:val="none"/>
                <w:lang w:val="en-US" w:eastAsia="zh-CN"/>
              </w:rPr>
              <w:t>生产车间</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lang w:val="en-US" w:eastAsia="zh-CN"/>
              </w:rPr>
              <w:t>参加演习人员：</w:t>
            </w:r>
            <w:r>
              <w:rPr>
                <w:rFonts w:hint="eastAsia" w:ascii="Times New Roman" w:hAnsi="Times New Roman" w:cs="Times New Roman"/>
                <w:sz w:val="21"/>
                <w:szCs w:val="21"/>
                <w:highlight w:val="none"/>
                <w:lang w:val="en-US" w:eastAsia="zh-CN"/>
              </w:rPr>
              <w:t>张金方</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曹玉婷</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潘建勇</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杨知亮、严新华</w:t>
            </w:r>
            <w:r>
              <w:rPr>
                <w:rFonts w:hint="default" w:ascii="Times New Roman" w:hAnsi="Times New Roman" w:cs="Times New Roman"/>
                <w:sz w:val="21"/>
                <w:szCs w:val="21"/>
                <w:highlight w:val="none"/>
                <w:lang w:val="en-US" w:eastAsia="zh-CN"/>
              </w:rPr>
              <w:t>等10人</w:t>
            </w:r>
            <w:r>
              <w:rPr>
                <w:rFonts w:hint="default" w:ascii="Times New Roman" w:hAnsi="Times New Roman" w:cs="Times New Roman"/>
                <w:sz w:val="21"/>
                <w:szCs w:val="21"/>
                <w:highlight w:val="none"/>
              </w:rPr>
              <w:t>对演练过程进行了描述，并对预案的有效性进行了评价。目前未发生火灾、人身伤害等事故。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w:t>
            </w:r>
            <w:r>
              <w:rPr>
                <w:rFonts w:hint="eastAsia" w:ascii="Calibri" w:hAnsi="Calibri" w:eastAsia="宋体" w:cs="Times New Roman"/>
                <w:kern w:val="2"/>
                <w:sz w:val="21"/>
                <w:szCs w:val="21"/>
                <w:highlight w:val="none"/>
                <w:lang w:val="en-US" w:eastAsia="zh-CN" w:bidi="ar-SA"/>
              </w:rPr>
              <w:t xml:space="preserve">叉车一台； 提供检验报告； 使用处可获取使用信息； 叉车司机两名；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rPr>
              <w:t>11 .对危险化学品销售、使用、储存、运输处置，规定的执行力度(必要时);</w:t>
            </w:r>
          </w:p>
          <w:p>
            <w:pPr>
              <w:pStyle w:val="2"/>
              <w:spacing w:line="240" w:lineRule="auto"/>
              <w:rPr>
                <w:rFonts w:hint="default" w:eastAsia="宋体"/>
                <w:lang w:val="en-US" w:eastAsia="zh-CN"/>
              </w:rPr>
            </w:pPr>
            <w:r>
              <w:rPr>
                <w:rFonts w:hint="eastAsia" w:ascii="Calibri" w:hAnsi="Calibri" w:eastAsia="宋体" w:cs="Times New Roman"/>
                <w:kern w:val="2"/>
                <w:sz w:val="21"/>
                <w:szCs w:val="21"/>
                <w:highlight w:val="none"/>
                <w:lang w:val="en-US" w:eastAsia="zh-CN" w:bidi="ar-SA"/>
              </w:rPr>
              <w:t>使用化学品有聚氨酯漆、催化剂、拉丝油、冷却乳化液等，配备储存仓库； 检查时储存有区位划分，但仓库门未关门上锁； 储存处未获得相关化学品的使用说明书（MSDS）; 设有危险固废仓库，与第三方签订处置协议，目前储存仓库内，有进出登记台账，未委外处理。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提供环境监测报告：1、报告编号：HZXH(HJ)-210138，报告日期：2021.4.9；监测了非甲烷总烃、酚类化合物、苯、甲苯、二甲苯、苯乙烯、臭气浓度；结论：符合DB33/2146-2018表2和GB 16297-1996表2中的限值要求；2、报告编号：HZXH(HJ)-210119，报告日期：2021.3.29；监测了厂界东南西北4个点的噪声值；结论：符合GB12348-2008表1的限值要求。</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主要环境因素控制措施有效。</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提供职业病危害因素检测报告：ZJXH(ZW)-2010099；日期：2020-11-5；报告结论：包漆车间甲酚、苯、甲苯、二甲苯、苯酚结论合格；拉丝车间的噪声结论不合格；包漆车间噪声合格；</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b/>
                <w:color w:val="000000" w:themeColor="text1"/>
                <w:sz w:val="20"/>
                <w:szCs w:val="20"/>
              </w:rPr>
            </w:pPr>
            <w:r>
              <w:rPr>
                <w:rFonts w:hint="eastAsia" w:ascii="Times New Roman" w:hAnsi="Times New Roman" w:eastAsia="宋体" w:cs="Times New Roman"/>
                <w:lang w:val="en-US" w:eastAsia="zh-CN"/>
              </w:rPr>
              <w:t>未提供拉丝车间和包漆车间岗位人员的体检信息，开出不符合项。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lang w:val="en-US" w:eastAsia="zh-CN"/>
              </w:rPr>
              <w:t>2.</w:t>
            </w:r>
            <w:r>
              <w:rPr>
                <w:rFonts w:hint="eastAsia" w:ascii="Times New Roman" w:hAnsi="Times New Roman" w:eastAsia="宋体" w:cs="Times New Roman"/>
                <w:b/>
                <w:color w:val="000000" w:themeColor="text1"/>
                <w:sz w:val="20"/>
                <w:szCs w:val="20"/>
              </w:rPr>
              <w:t>顾客满意</w:t>
            </w:r>
          </w:p>
          <w:p>
            <w:pPr>
              <w:ind w:firstLine="420" w:firstLineChars="200"/>
              <w:rPr>
                <w:rFonts w:asciiTheme="minorEastAsia" w:hAnsiTheme="minorEastAsia" w:eastAsiaTheme="minorEastAsia"/>
                <w:szCs w:val="21"/>
                <w:lang w:val="zh-CN"/>
              </w:rPr>
            </w:pPr>
            <w:r>
              <w:rPr>
                <w:rFonts w:hint="eastAsia" w:asciiTheme="minorEastAsia" w:hAnsiTheme="minorEastAsia" w:eastAsiaTheme="minorEastAsia"/>
                <w:szCs w:val="21"/>
                <w:lang w:val="zh-CN"/>
              </w:rPr>
              <w:t>公司通过电话，走访等形式，接受顾客反馈，了解顾客满意度信息，发放调查表对顾客满意度进行定量测量。</w:t>
            </w:r>
          </w:p>
          <w:p>
            <w:pPr>
              <w:spacing w:line="240" w:lineRule="exact"/>
            </w:pPr>
            <w:r>
              <w:rPr>
                <w:rFonts w:hint="eastAsia" w:asciiTheme="minorEastAsia" w:hAnsiTheme="minorEastAsia" w:eastAsiaTheme="minorEastAsia"/>
                <w:szCs w:val="21"/>
                <w:lang w:val="zh-CN"/>
              </w:rPr>
              <w:t>提供“顾客满意程度调查表”，顾客较满意</w:t>
            </w:r>
            <w:r>
              <w:rPr>
                <w:rFonts w:hint="eastAsia" w:asciiTheme="minorEastAsia" w:hAnsiTheme="minorEastAsia" w:eastAsiaTheme="minorEastAsia"/>
                <w:szCs w:val="21"/>
                <w:lang w:val="en-US" w:eastAsia="zh-CN"/>
              </w:rPr>
              <w:t>率为97.4%</w:t>
            </w:r>
            <w:r>
              <w:rPr>
                <w:rFonts w:hint="eastAsia" w:asciiTheme="minorEastAsia" w:hAnsiTheme="minorEastAsia" w:eastAsiaTheme="minorEastAsia"/>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80" w:lineRule="exact"/>
              <w:ind w:firstLine="420" w:firstLineChars="200"/>
              <w:rPr>
                <w:szCs w:val="21"/>
              </w:rPr>
            </w:pPr>
            <w:r>
              <w:rPr>
                <w:rFonts w:hint="eastAsia"/>
                <w:szCs w:val="21"/>
              </w:rPr>
              <w:t>编制了《内部审核程序》，由管代定期组织每年进行一次内审，间隔不超过12月份，由经过培训的内审员参加。</w:t>
            </w:r>
          </w:p>
          <w:p>
            <w:pPr>
              <w:spacing w:line="280" w:lineRule="exact"/>
              <w:ind w:firstLine="420" w:firstLineChars="200"/>
              <w:rPr>
                <w:szCs w:val="21"/>
              </w:rPr>
            </w:pPr>
            <w:r>
              <w:rPr>
                <w:rFonts w:hint="eastAsia"/>
                <w:szCs w:val="21"/>
              </w:rPr>
              <w:t>依据</w:t>
            </w:r>
            <w:r>
              <w:rPr>
                <w:rFonts w:hint="eastAsia"/>
                <w:szCs w:val="21"/>
                <w:lang w:val="en-US" w:eastAsia="zh-CN"/>
              </w:rPr>
              <w:t>GB/T19001-2016</w:t>
            </w:r>
            <w:r>
              <w:rPr>
                <w:rFonts w:hint="eastAsia"/>
                <w:szCs w:val="21"/>
              </w:rPr>
              <w:t>、</w:t>
            </w:r>
            <w:r>
              <w:rPr>
                <w:rFonts w:hint="eastAsia"/>
                <w:szCs w:val="21"/>
                <w:lang w:val="en-US" w:eastAsia="zh-CN"/>
              </w:rPr>
              <w:t>GB/T2</w:t>
            </w:r>
            <w:r>
              <w:rPr>
                <w:rFonts w:hint="eastAsia"/>
                <w:szCs w:val="21"/>
              </w:rPr>
              <w:t>4001</w:t>
            </w:r>
            <w:r>
              <w:rPr>
                <w:rFonts w:hint="eastAsia"/>
                <w:szCs w:val="21"/>
                <w:lang w:val="en-US" w:eastAsia="zh-CN"/>
              </w:rPr>
              <w:t>-</w:t>
            </w:r>
            <w:r>
              <w:rPr>
                <w:rFonts w:hint="eastAsia"/>
                <w:szCs w:val="21"/>
              </w:rPr>
              <w:t>201</w:t>
            </w:r>
            <w:r>
              <w:rPr>
                <w:rFonts w:hint="eastAsia"/>
                <w:szCs w:val="21"/>
                <w:lang w:val="en-US" w:eastAsia="zh-CN"/>
              </w:rPr>
              <w:t>6</w:t>
            </w:r>
            <w:r>
              <w:rPr>
                <w:rFonts w:hint="eastAsia"/>
                <w:szCs w:val="21"/>
              </w:rPr>
              <w:t>、</w:t>
            </w:r>
            <w:r>
              <w:rPr>
                <w:rFonts w:hint="eastAsia"/>
                <w:szCs w:val="21"/>
                <w:lang w:val="en-US" w:eastAsia="zh-CN"/>
              </w:rPr>
              <w:t>GB/T</w:t>
            </w:r>
            <w:r>
              <w:rPr>
                <w:szCs w:val="21"/>
              </w:rPr>
              <w:t>45</w:t>
            </w:r>
            <w:r>
              <w:rPr>
                <w:rFonts w:hint="eastAsia"/>
                <w:szCs w:val="21"/>
              </w:rPr>
              <w:t>001</w:t>
            </w:r>
            <w:r>
              <w:rPr>
                <w:rFonts w:hint="eastAsia"/>
                <w:szCs w:val="21"/>
                <w:lang w:val="en-US" w:eastAsia="zh-CN"/>
              </w:rPr>
              <w:t>-</w:t>
            </w:r>
            <w:r>
              <w:rPr>
                <w:rFonts w:hint="eastAsia"/>
                <w:szCs w:val="21"/>
              </w:rPr>
              <w:t>20</w:t>
            </w:r>
            <w:r>
              <w:rPr>
                <w:rFonts w:hint="eastAsia"/>
                <w:szCs w:val="21"/>
                <w:lang w:val="en-US" w:eastAsia="zh-CN"/>
              </w:rPr>
              <w:t>20</w:t>
            </w:r>
            <w:r>
              <w:rPr>
                <w:rFonts w:hint="eastAsia"/>
                <w:szCs w:val="21"/>
              </w:rPr>
              <w:t>标准、体系文件、相关法律法规等.</w:t>
            </w:r>
          </w:p>
          <w:p>
            <w:pPr>
              <w:spacing w:line="280" w:lineRule="exact"/>
              <w:ind w:firstLine="420" w:firstLineChars="200"/>
              <w:rPr>
                <w:szCs w:val="21"/>
              </w:rPr>
            </w:pPr>
            <w:r>
              <w:rPr>
                <w:rFonts w:hint="eastAsia"/>
                <w:szCs w:val="21"/>
              </w:rPr>
              <w:t>提供</w:t>
            </w:r>
            <w:r>
              <w:rPr>
                <w:szCs w:val="21"/>
              </w:rPr>
              <w:t>2020</w:t>
            </w:r>
            <w:r>
              <w:rPr>
                <w:rFonts w:hint="eastAsia"/>
                <w:szCs w:val="21"/>
              </w:rPr>
              <w:t>年度《内部审核计划》，内审安排1次。明确审核目的、范围、依据、日期（20</w:t>
            </w:r>
            <w:r>
              <w:rPr>
                <w:szCs w:val="21"/>
              </w:rPr>
              <w:t>2</w:t>
            </w:r>
            <w:r>
              <w:rPr>
                <w:rFonts w:hint="eastAsia"/>
                <w:szCs w:val="21"/>
                <w:lang w:val="en-US" w:eastAsia="zh-CN"/>
              </w:rPr>
              <w:t>1</w:t>
            </w:r>
            <w:r>
              <w:rPr>
                <w:rFonts w:hint="eastAsia"/>
                <w:szCs w:val="21"/>
              </w:rPr>
              <w:t>.</w:t>
            </w:r>
            <w:r>
              <w:rPr>
                <w:szCs w:val="21"/>
              </w:rPr>
              <w:t>4</w:t>
            </w:r>
            <w:r>
              <w:rPr>
                <w:rFonts w:hint="eastAsia"/>
                <w:szCs w:val="21"/>
                <w:lang w:val="en-US" w:eastAsia="zh-CN"/>
              </w:rPr>
              <w:t>.8</w:t>
            </w:r>
            <w:r>
              <w:rPr>
                <w:rFonts w:hint="eastAsia"/>
                <w:szCs w:val="21"/>
              </w:rPr>
              <w:t>），组长：</w:t>
            </w:r>
            <w:r>
              <w:rPr>
                <w:rFonts w:hint="eastAsia"/>
                <w:szCs w:val="21"/>
                <w:lang w:val="en-US" w:eastAsia="zh-CN"/>
              </w:rPr>
              <w:t>杨知亮</w:t>
            </w:r>
            <w:r>
              <w:rPr>
                <w:rFonts w:hint="eastAsia"/>
                <w:szCs w:val="21"/>
              </w:rPr>
              <w:t>，组员：</w:t>
            </w:r>
            <w:r>
              <w:rPr>
                <w:rFonts w:hint="eastAsia"/>
                <w:szCs w:val="21"/>
                <w:lang w:val="en-US" w:eastAsia="zh-CN"/>
              </w:rPr>
              <w:t>曹玉婷</w:t>
            </w:r>
            <w:r>
              <w:rPr>
                <w:rFonts w:hint="eastAsia"/>
                <w:szCs w:val="21"/>
              </w:rPr>
              <w:t>，有培训记录和总经理的任命书；编制：</w:t>
            </w:r>
            <w:r>
              <w:rPr>
                <w:rFonts w:hint="eastAsia"/>
                <w:szCs w:val="21"/>
                <w:lang w:val="en-US" w:eastAsia="zh-CN"/>
              </w:rPr>
              <w:t>曹玉婷</w:t>
            </w:r>
            <w:r>
              <w:rPr>
                <w:rFonts w:hint="eastAsia"/>
                <w:szCs w:val="21"/>
              </w:rPr>
              <w:t>，审批：</w:t>
            </w:r>
            <w:r>
              <w:rPr>
                <w:rFonts w:hint="eastAsia"/>
                <w:szCs w:val="21"/>
                <w:lang w:val="en-US" w:eastAsia="zh-CN"/>
              </w:rPr>
              <w:t>张金方</w:t>
            </w:r>
            <w:r>
              <w:rPr>
                <w:rFonts w:hint="eastAsia"/>
                <w:szCs w:val="21"/>
              </w:rPr>
              <w:t>，日期：</w:t>
            </w:r>
            <w:r>
              <w:rPr>
                <w:szCs w:val="21"/>
              </w:rPr>
              <w:t>202</w:t>
            </w:r>
            <w:r>
              <w:rPr>
                <w:rFonts w:hint="eastAsia"/>
                <w:szCs w:val="21"/>
                <w:lang w:val="en-US" w:eastAsia="zh-CN"/>
              </w:rPr>
              <w:t>1</w:t>
            </w:r>
            <w:r>
              <w:rPr>
                <w:rFonts w:hint="eastAsia"/>
                <w:szCs w:val="21"/>
              </w:rPr>
              <w:t>.</w:t>
            </w:r>
            <w:r>
              <w:rPr>
                <w:szCs w:val="21"/>
              </w:rPr>
              <w:t>4.1</w:t>
            </w:r>
            <w:r>
              <w:rPr>
                <w:rFonts w:hint="eastAsia"/>
                <w:szCs w:val="21"/>
              </w:rPr>
              <w:t>。</w:t>
            </w:r>
          </w:p>
          <w:p>
            <w:pPr>
              <w:spacing w:line="280" w:lineRule="exact"/>
              <w:ind w:firstLine="420" w:firstLineChars="200"/>
              <w:rPr>
                <w:szCs w:val="21"/>
              </w:rPr>
            </w:pPr>
            <w:r>
              <w:rPr>
                <w:rFonts w:hint="eastAsia"/>
                <w:szCs w:val="21"/>
              </w:rPr>
              <w:t>计划内容涉及各部门，条款覆盖整个体系，时间安排合理。同时考虑到互查的公正性。实际审核：20</w:t>
            </w:r>
            <w:r>
              <w:rPr>
                <w:szCs w:val="21"/>
              </w:rPr>
              <w:t>2</w:t>
            </w:r>
            <w:r>
              <w:rPr>
                <w:rFonts w:hint="eastAsia"/>
                <w:szCs w:val="21"/>
                <w:lang w:val="en-US" w:eastAsia="zh-CN"/>
              </w:rPr>
              <w:t>1</w:t>
            </w:r>
            <w:r>
              <w:rPr>
                <w:rFonts w:hint="eastAsia"/>
                <w:szCs w:val="21"/>
              </w:rPr>
              <w:t>.</w:t>
            </w:r>
            <w:r>
              <w:rPr>
                <w:szCs w:val="21"/>
              </w:rPr>
              <w:t>4.</w:t>
            </w:r>
            <w:r>
              <w:rPr>
                <w:rFonts w:hint="eastAsia"/>
                <w:szCs w:val="21"/>
                <w:lang w:val="en-US" w:eastAsia="zh-CN"/>
              </w:rPr>
              <w:t>11</w:t>
            </w:r>
            <w:r>
              <w:rPr>
                <w:rFonts w:hint="eastAsia"/>
                <w:szCs w:val="21"/>
              </w:rPr>
              <w:t>~</w:t>
            </w:r>
            <w:r>
              <w:rPr>
                <w:rFonts w:hint="eastAsia"/>
                <w:szCs w:val="21"/>
                <w:lang w:val="en-US" w:eastAsia="zh-CN"/>
              </w:rPr>
              <w:t>12</w:t>
            </w:r>
            <w:r>
              <w:rPr>
                <w:rFonts w:hint="eastAsia"/>
                <w:szCs w:val="21"/>
              </w:rPr>
              <w:t>，有签到表。</w:t>
            </w:r>
          </w:p>
          <w:p>
            <w:pPr>
              <w:spacing w:line="280" w:lineRule="exact"/>
              <w:ind w:firstLine="420" w:firstLineChars="200"/>
              <w:rPr>
                <w:szCs w:val="21"/>
              </w:rPr>
            </w:pPr>
            <w:r>
              <w:rPr>
                <w:rFonts w:hint="eastAsia"/>
                <w:szCs w:val="21"/>
              </w:rPr>
              <w:t>查《内审检查表》，有管理层、</w:t>
            </w:r>
            <w:r>
              <w:rPr>
                <w:rFonts w:hint="eastAsia"/>
                <w:szCs w:val="21"/>
                <w:lang w:val="en-US" w:eastAsia="zh-CN"/>
              </w:rPr>
              <w:t>办公室</w:t>
            </w:r>
            <w:r>
              <w:rPr>
                <w:rFonts w:hint="eastAsia"/>
                <w:szCs w:val="21"/>
              </w:rPr>
              <w:t>、供销部、生产部、</w:t>
            </w:r>
            <w:r>
              <w:rPr>
                <w:rFonts w:hint="eastAsia"/>
                <w:szCs w:val="21"/>
                <w:lang w:val="en-US" w:eastAsia="zh-CN"/>
              </w:rPr>
              <w:t>品控</w:t>
            </w:r>
            <w:r>
              <w:rPr>
                <w:rFonts w:hint="eastAsia"/>
                <w:szCs w:val="21"/>
              </w:rPr>
              <w:t>部等部门的审核记录，条款与策划一致，记录真实、完整。包括QEO体系所有条款，没有遗漏。</w:t>
            </w:r>
          </w:p>
          <w:p>
            <w:pPr>
              <w:spacing w:line="240" w:lineRule="exact"/>
              <w:rPr>
                <w:b/>
                <w:color w:val="000000" w:themeColor="text1"/>
                <w:spacing w:val="-8"/>
                <w:sz w:val="20"/>
                <w:szCs w:val="20"/>
              </w:rPr>
            </w:pPr>
            <w:r>
              <w:rPr>
                <w:rFonts w:hint="eastAsia"/>
                <w:szCs w:val="21"/>
              </w:rPr>
              <w:t>查《不合格报告》本次发现不符合</w:t>
            </w:r>
            <w:r>
              <w:rPr>
                <w:rFonts w:hint="eastAsia"/>
                <w:szCs w:val="21"/>
                <w:lang w:val="en-US" w:eastAsia="zh-CN"/>
              </w:rPr>
              <w:t>1</w:t>
            </w:r>
            <w:r>
              <w:rPr>
                <w:rFonts w:hint="eastAsia"/>
                <w:szCs w:val="21"/>
              </w:rPr>
              <w:t>个，为一般不符合，分别为O</w:t>
            </w:r>
            <w:r>
              <w:rPr>
                <w:szCs w:val="21"/>
              </w:rPr>
              <w:t>8.1</w:t>
            </w:r>
            <w:r>
              <w:rPr>
                <w:rFonts w:hint="eastAsia"/>
                <w:szCs w:val="21"/>
                <w:lang w:val="en-US" w:eastAsia="zh-CN"/>
              </w:rPr>
              <w:t>.2</w:t>
            </w:r>
            <w:r>
              <w:rPr>
                <w:rFonts w:hint="eastAsia"/>
                <w:szCs w:val="21"/>
              </w:rPr>
              <w:t>。对于不符合项所采取的纠正等措施，内审员进行了验证。上述内容记录完整。提供《内部审核报告》，结论： 公司建立的质量/环境/职业健康安全管理体系基本符合</w:t>
            </w:r>
            <w:r>
              <w:rPr>
                <w:rFonts w:hint="eastAsia"/>
                <w:szCs w:val="21"/>
                <w:lang w:val="en-US" w:eastAsia="zh-CN"/>
              </w:rPr>
              <w:t>GB/T19001-2016</w:t>
            </w:r>
            <w:r>
              <w:rPr>
                <w:rFonts w:hint="eastAsia"/>
                <w:szCs w:val="21"/>
              </w:rPr>
              <w:t>、</w:t>
            </w:r>
            <w:r>
              <w:rPr>
                <w:rFonts w:hint="eastAsia"/>
                <w:szCs w:val="21"/>
                <w:lang w:val="en-US" w:eastAsia="zh-CN"/>
              </w:rPr>
              <w:t>GB/T2</w:t>
            </w:r>
            <w:r>
              <w:rPr>
                <w:rFonts w:hint="eastAsia"/>
                <w:szCs w:val="21"/>
              </w:rPr>
              <w:t>4001</w:t>
            </w:r>
            <w:r>
              <w:rPr>
                <w:rFonts w:hint="eastAsia"/>
                <w:szCs w:val="21"/>
                <w:lang w:val="en-US" w:eastAsia="zh-CN"/>
              </w:rPr>
              <w:t>-</w:t>
            </w:r>
            <w:r>
              <w:rPr>
                <w:rFonts w:hint="eastAsia"/>
                <w:szCs w:val="21"/>
              </w:rPr>
              <w:t>201</w:t>
            </w:r>
            <w:r>
              <w:rPr>
                <w:rFonts w:hint="eastAsia"/>
                <w:szCs w:val="21"/>
                <w:lang w:val="en-US" w:eastAsia="zh-CN"/>
              </w:rPr>
              <w:t>6</w:t>
            </w:r>
            <w:r>
              <w:rPr>
                <w:rFonts w:hint="eastAsia"/>
                <w:szCs w:val="21"/>
              </w:rPr>
              <w:t>、</w:t>
            </w:r>
            <w:r>
              <w:rPr>
                <w:rFonts w:hint="eastAsia"/>
                <w:szCs w:val="21"/>
                <w:lang w:val="en-US" w:eastAsia="zh-CN"/>
              </w:rPr>
              <w:t>GB/T</w:t>
            </w:r>
            <w:r>
              <w:rPr>
                <w:szCs w:val="21"/>
              </w:rPr>
              <w:t>45</w:t>
            </w:r>
            <w:r>
              <w:rPr>
                <w:rFonts w:hint="eastAsia"/>
                <w:szCs w:val="21"/>
              </w:rPr>
              <w:t>001</w:t>
            </w:r>
            <w:r>
              <w:rPr>
                <w:rFonts w:hint="eastAsia"/>
                <w:szCs w:val="21"/>
                <w:lang w:val="en-US" w:eastAsia="zh-CN"/>
              </w:rPr>
              <w:t>-</w:t>
            </w:r>
            <w:r>
              <w:rPr>
                <w:rFonts w:hint="eastAsia"/>
                <w:szCs w:val="21"/>
              </w:rPr>
              <w:t>20</w:t>
            </w:r>
            <w:r>
              <w:rPr>
                <w:rFonts w:hint="eastAsia"/>
                <w:szCs w:val="21"/>
                <w:lang w:val="en-US" w:eastAsia="zh-CN"/>
              </w:rPr>
              <w:t>20</w:t>
            </w:r>
            <w:r>
              <w:rPr>
                <w:rFonts w:hint="eastAsia"/>
                <w:szCs w:val="21"/>
              </w:rPr>
              <w:t>标准要求。管理体系的运行是适宜的、充分的、有效的。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80" w:lineRule="exact"/>
              <w:ind w:firstLine="420" w:firstLineChars="200"/>
              <w:rPr>
                <w:rFonts w:ascii="宋体" w:hAnsi="宋体" w:cs="宋体"/>
                <w:szCs w:val="21"/>
              </w:rPr>
            </w:pPr>
            <w:r>
              <w:rPr>
                <w:rFonts w:hint="eastAsia" w:ascii="宋体" w:hAnsi="宋体" w:cs="宋体"/>
                <w:szCs w:val="21"/>
              </w:rPr>
              <w:t>编制了管理评审控制程序，由总经理负责，提供了最近一次管理评审：</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ascii="宋体" w:hAnsi="宋体" w:cs="宋体"/>
                <w:szCs w:val="21"/>
              </w:rPr>
            </w:pPr>
            <w:r>
              <w:rPr>
                <w:rFonts w:hint="eastAsia" w:ascii="宋体" w:hAnsi="宋体" w:cs="宋体"/>
                <w:szCs w:val="21"/>
              </w:rPr>
              <w:t>评审时间：</w:t>
            </w:r>
            <w:r>
              <w:rPr>
                <w:rFonts w:hint="eastAsia" w:ascii="宋体" w:hAnsi="宋体" w:eastAsia="宋体" w:cs="宋体"/>
                <w:szCs w:val="21"/>
              </w:rPr>
              <w:t>计划202</w:t>
            </w:r>
            <w:r>
              <w:rPr>
                <w:rFonts w:hint="eastAsia" w:ascii="宋体" w:hAnsi="宋体" w:eastAsia="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4</w:t>
            </w:r>
            <w:r>
              <w:rPr>
                <w:rFonts w:hint="eastAsia" w:ascii="宋体" w:hAnsi="宋体" w:eastAsia="宋体" w:cs="宋体"/>
                <w:szCs w:val="21"/>
              </w:rPr>
              <w:t>月</w:t>
            </w:r>
            <w:r>
              <w:rPr>
                <w:rFonts w:hint="eastAsia" w:ascii="宋体" w:hAnsi="宋体" w:cs="宋体"/>
                <w:szCs w:val="21"/>
                <w:lang w:val="en-US" w:eastAsia="zh-CN"/>
              </w:rPr>
              <w:t>15</w:t>
            </w:r>
            <w:r>
              <w:rPr>
                <w:rFonts w:hint="eastAsia" w:ascii="宋体" w:hAnsi="宋体" w:eastAsia="宋体" w:cs="宋体"/>
                <w:szCs w:val="21"/>
              </w:rPr>
              <w:t>日进行，初审无间隔要求， 评审方式：会议评审，编制：</w:t>
            </w:r>
            <w:r>
              <w:rPr>
                <w:rFonts w:hint="eastAsia" w:ascii="宋体" w:hAnsi="宋体" w:eastAsia="宋体" w:cs="宋体"/>
                <w:szCs w:val="21"/>
                <w:lang w:val="en-US" w:eastAsia="zh-CN"/>
              </w:rPr>
              <w:t>杨秀红</w:t>
            </w:r>
            <w:r>
              <w:rPr>
                <w:rFonts w:hint="eastAsia" w:ascii="宋体" w:hAnsi="宋体" w:eastAsia="宋体" w:cs="宋体"/>
                <w:szCs w:val="21"/>
              </w:rPr>
              <w:t xml:space="preserve">  批准：</w:t>
            </w:r>
            <w:r>
              <w:rPr>
                <w:rFonts w:hint="eastAsia" w:ascii="宋体" w:hAnsi="宋体" w:cs="宋体"/>
                <w:szCs w:val="21"/>
                <w:lang w:val="en-US" w:eastAsia="zh-CN"/>
              </w:rPr>
              <w:t>张金方</w:t>
            </w:r>
            <w:r>
              <w:rPr>
                <w:rFonts w:hint="eastAsia" w:ascii="宋体" w:hAnsi="宋体" w:eastAsia="宋体" w:cs="宋体"/>
                <w:szCs w:val="21"/>
              </w:rPr>
              <w:t>。但评审计划编制时间也为</w:t>
            </w:r>
            <w:r>
              <w:rPr>
                <w:rFonts w:hint="eastAsia" w:ascii="宋体" w:hAnsi="宋体" w:eastAsia="宋体" w:cs="宋体"/>
                <w:szCs w:val="21"/>
                <w:lang w:val="en-US" w:eastAsia="zh-CN"/>
              </w:rPr>
              <w:t>4</w:t>
            </w:r>
            <w:r>
              <w:rPr>
                <w:rFonts w:hint="eastAsia" w:ascii="宋体" w:hAnsi="宋体" w:eastAsia="宋体" w:cs="宋体"/>
                <w:szCs w:val="21"/>
              </w:rPr>
              <w:t>月</w:t>
            </w:r>
            <w:r>
              <w:rPr>
                <w:rFonts w:hint="eastAsia" w:ascii="宋体" w:hAnsi="宋体" w:cs="宋体"/>
                <w:szCs w:val="21"/>
                <w:lang w:val="en-US" w:eastAsia="zh-CN"/>
              </w:rPr>
              <w:t>15</w:t>
            </w:r>
            <w:r>
              <w:rPr>
                <w:rFonts w:hint="eastAsia" w:ascii="宋体" w:hAnsi="宋体" w:eastAsia="宋体" w:cs="宋体"/>
                <w:szCs w:val="21"/>
              </w:rPr>
              <w:t>日，现场沟通。</w:t>
            </w:r>
          </w:p>
          <w:p>
            <w:pPr>
              <w:spacing w:line="280" w:lineRule="exact"/>
              <w:rPr>
                <w:rFonts w:ascii="宋体" w:hAnsi="宋体" w:cs="宋体"/>
                <w:szCs w:val="21"/>
              </w:rPr>
            </w:pPr>
            <w:r>
              <w:rPr>
                <w:rFonts w:hint="eastAsia" w:ascii="宋体" w:hAnsi="宋体" w:cs="宋体"/>
                <w:szCs w:val="21"/>
              </w:rPr>
              <w:t>参加人员包括公司总经理、管理者代表、各部门负责人</w:t>
            </w:r>
          </w:p>
          <w:p>
            <w:pPr>
              <w:spacing w:line="280" w:lineRule="exact"/>
              <w:rPr>
                <w:rFonts w:ascii="宋体" w:hAnsi="宋体" w:cs="宋体"/>
                <w:szCs w:val="21"/>
              </w:rPr>
            </w:pPr>
            <w:r>
              <w:rPr>
                <w:rFonts w:hint="eastAsia" w:ascii="宋体" w:hAnsi="宋体" w:cs="宋体"/>
                <w:szCs w:val="21"/>
              </w:rPr>
              <w:t>计划中明确了评审内容和资料准备要求。</w:t>
            </w:r>
          </w:p>
          <w:p>
            <w:pPr>
              <w:spacing w:line="280" w:lineRule="exact"/>
              <w:rPr>
                <w:rFonts w:ascii="宋体" w:hAnsi="宋体" w:cs="宋体"/>
                <w:szCs w:val="21"/>
              </w:rPr>
            </w:pPr>
            <w:r>
              <w:rPr>
                <w:rFonts w:hint="eastAsia" w:ascii="宋体" w:hAnsi="宋体" w:cs="宋体"/>
                <w:szCs w:val="21"/>
              </w:rPr>
              <w:t>2.管理评审会议记录</w:t>
            </w:r>
          </w:p>
          <w:p>
            <w:pPr>
              <w:spacing w:line="280" w:lineRule="exact"/>
              <w:rPr>
                <w:rFonts w:ascii="宋体" w:hAnsi="宋体" w:cs="宋体"/>
                <w:szCs w:val="21"/>
              </w:rPr>
            </w:pPr>
            <w:r>
              <w:rPr>
                <w:rFonts w:hint="eastAsia" w:ascii="宋体" w:hAnsi="宋体" w:cs="宋体"/>
                <w:szCs w:val="21"/>
              </w:rPr>
              <w:t>按计划的时间实施了管理评审。管理评审输入：管理方针、目标的适宜行和实现情况；管理体系的符合性；内审结果；内外部环境分析及风险应对措施的落实情况；纠正预防措施及持续改进能力；重要环境因素和不可接受风险控制及效果；合规性评价；可能影响管理体系的变更；质量事故、顾客满意度；改进建议等；</w:t>
            </w:r>
          </w:p>
          <w:p>
            <w:pPr>
              <w:spacing w:line="280" w:lineRule="exact"/>
              <w:rPr>
                <w:rFonts w:ascii="宋体" w:hAnsi="宋体" w:cs="宋体"/>
                <w:szCs w:val="21"/>
              </w:rPr>
            </w:pPr>
            <w:r>
              <w:rPr>
                <w:rFonts w:hint="eastAsia" w:ascii="宋体" w:hAnsi="宋体" w:cs="宋体"/>
                <w:szCs w:val="21"/>
              </w:rPr>
              <w:t>3.管理评审报告</w:t>
            </w:r>
          </w:p>
          <w:p>
            <w:pPr>
              <w:spacing w:line="280" w:lineRule="exact"/>
              <w:rPr>
                <w:rFonts w:ascii="宋体" w:hAnsi="宋体" w:cs="宋体"/>
                <w:szCs w:val="21"/>
              </w:rPr>
            </w:pPr>
            <w:r>
              <w:rPr>
                <w:rFonts w:hint="eastAsia" w:ascii="宋体" w:hAnsi="宋体" w:cs="宋体"/>
                <w:szCs w:val="21"/>
              </w:rPr>
              <w:t>管理评审结论：</w:t>
            </w:r>
          </w:p>
          <w:p>
            <w:pPr>
              <w:spacing w:line="28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贯彻质量、环境、职业健康安全管理体系以来，各部门分别按各自主管的标准要求实施，对文件、记录、生产和安装过程及重要环境因素和危险源等进行有效的控制，取得了一定的成效。相关方满意指标及环境安全指标基本达到和符合目标要求。</w:t>
            </w:r>
          </w:p>
          <w:p>
            <w:pPr>
              <w:spacing w:line="28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为确保质量、环境、安全管理体系有效运行，进一步组织职工进行各类培训，有效地提高职工的素质，设施基本能够满足生产、环保、安全需求，资源提供是适宜充分的。</w:t>
            </w:r>
          </w:p>
          <w:p>
            <w:pPr>
              <w:spacing w:line="280" w:lineRule="exac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质量、环境、安全管理方案逐步得到完善和实施，并达到预期的目标要求。</w:t>
            </w:r>
          </w:p>
          <w:p>
            <w:pPr>
              <w:spacing w:line="280" w:lineRule="exac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内审提出</w:t>
            </w:r>
            <w:r>
              <w:rPr>
                <w:rFonts w:hint="eastAsia" w:ascii="宋体" w:hAnsi="宋体" w:cs="宋体"/>
                <w:szCs w:val="21"/>
                <w:lang w:val="en-US" w:eastAsia="zh-CN"/>
              </w:rPr>
              <w:t>1</w:t>
            </w:r>
            <w:r>
              <w:rPr>
                <w:rFonts w:hint="eastAsia" w:ascii="宋体" w:hAnsi="宋体" w:cs="宋体"/>
                <w:szCs w:val="21"/>
              </w:rPr>
              <w:t>个书面不合格项，责任部门已制订相应的纠正措施，并得到实施，经验证纠正措施有效。</w:t>
            </w:r>
          </w:p>
          <w:p>
            <w:pPr>
              <w:spacing w:line="280" w:lineRule="exact"/>
              <w:rPr>
                <w:rFonts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公司员工进一步树立质量意识、环境意识、安全意识，在各自的岗位上努力做好本职工作，确保产品满足相关方的需求和期望，质量、环境指标达到法规要求，安全无事故，企业在激烈的市场竞争中显示出明显的优势。</w:t>
            </w:r>
          </w:p>
          <w:p>
            <w:pPr>
              <w:spacing w:line="280" w:lineRule="exact"/>
              <w:rPr>
                <w:rFonts w:ascii="宋体" w:hAnsi="宋体" w:cs="宋体"/>
                <w:szCs w:val="21"/>
              </w:rPr>
            </w:pPr>
            <w:r>
              <w:rPr>
                <w:rFonts w:hint="eastAsia" w:ascii="宋体" w:hAnsi="宋体" w:cs="宋体"/>
                <w:szCs w:val="21"/>
              </w:rPr>
              <w:t>总体评价质量环境职业健康安全管理体系运行是有效的，资源提供是充分的，方针目标是适宜的。</w:t>
            </w:r>
          </w:p>
          <w:p>
            <w:pPr>
              <w:spacing w:line="280" w:lineRule="exact"/>
              <w:ind w:firstLine="420" w:firstLineChars="200"/>
              <w:rPr>
                <w:rFonts w:ascii="宋体" w:hAnsi="宋体" w:cs="宋体"/>
                <w:szCs w:val="21"/>
              </w:rPr>
            </w:pPr>
            <w:r>
              <w:rPr>
                <w:rFonts w:hint="eastAsia" w:ascii="宋体" w:hAnsi="宋体" w:cs="宋体"/>
                <w:szCs w:val="21"/>
              </w:rPr>
              <w:t>管理评审改进建议：</w:t>
            </w:r>
          </w:p>
          <w:p>
            <w:pPr>
              <w:spacing w:line="280" w:lineRule="exact"/>
              <w:ind w:firstLine="420" w:firstLineChars="200"/>
              <w:rPr>
                <w:rFonts w:ascii="宋体" w:hAnsi="宋体" w:cs="宋体"/>
                <w:szCs w:val="21"/>
              </w:rPr>
            </w:pPr>
            <w:r>
              <w:rPr>
                <w:rFonts w:hint="eastAsia" w:ascii="宋体" w:hAnsi="宋体" w:cs="宋体"/>
                <w:szCs w:val="21"/>
              </w:rPr>
              <w:t>（1）进一步</w:t>
            </w:r>
            <w:r>
              <w:rPr>
                <w:rFonts w:hint="eastAsia" w:ascii="宋体" w:hAnsi="宋体" w:cs="宋体"/>
                <w:szCs w:val="21"/>
                <w:lang w:val="en-US" w:eastAsia="zh-CN"/>
              </w:rPr>
              <w:t>加强管理体系文件的培训学习，加强安全意识教育，规范现场安全操作</w:t>
            </w:r>
            <w:r>
              <w:rPr>
                <w:rFonts w:hint="eastAsia" w:ascii="宋体" w:hAnsi="宋体" w:cs="宋体"/>
                <w:szCs w:val="21"/>
              </w:rPr>
              <w:t>；</w:t>
            </w:r>
          </w:p>
          <w:p>
            <w:pPr>
              <w:spacing w:line="240" w:lineRule="exact"/>
              <w:rPr>
                <w:b/>
                <w:color w:val="000000" w:themeColor="text1"/>
                <w:sz w:val="20"/>
                <w:szCs w:val="20"/>
              </w:rPr>
            </w:pPr>
            <w:r>
              <w:rPr>
                <w:rFonts w:hint="eastAsia" w:ascii="宋体" w:hAnsi="宋体" w:cs="宋体"/>
                <w:szCs w:val="21"/>
              </w:rPr>
              <w:t>（2）</w:t>
            </w:r>
            <w:r>
              <w:rPr>
                <w:rFonts w:hint="eastAsia" w:ascii="宋体" w:hAnsi="宋体" w:cs="宋体"/>
                <w:szCs w:val="21"/>
                <w:lang w:val="en-US" w:eastAsia="zh-CN"/>
              </w:rPr>
              <w:t>对现有的规章制度、作业文件不适用的内容进行相应的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3"/>
              </w:numPr>
              <w:spacing w:line="240" w:lineRule="exact"/>
              <w:ind w:left="100" w:leftChars="0" w:firstLine="0" w:firstLineChars="0"/>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rPr>
              <w:t>EMS是否按规定对主要污染物（污水、废气、噪声、废渣等）及排放实施了例行的监视或测量，结果是否满足相关要求？</w:t>
            </w:r>
          </w:p>
          <w:p>
            <w:pPr>
              <w:spacing w:line="280" w:lineRule="exact"/>
              <w:ind w:firstLine="420" w:firstLineChars="200"/>
              <w:rPr>
                <w:rFonts w:hint="default" w:ascii="宋体" w:hAnsi="宋体" w:cs="宋体"/>
                <w:szCs w:val="21"/>
                <w:lang w:val="en-US" w:eastAsia="zh-CN"/>
              </w:rPr>
            </w:pPr>
            <w:r>
              <w:rPr>
                <w:rFonts w:hint="eastAsia" w:ascii="宋体" w:hAnsi="宋体" w:cs="宋体"/>
                <w:szCs w:val="21"/>
                <w:lang w:val="en-US" w:eastAsia="zh-CN"/>
              </w:rPr>
              <w:t>装有废气监测系统，连接环保局平台，未有超标排放记录。</w:t>
            </w:r>
          </w:p>
          <w:p>
            <w:pPr>
              <w:pStyle w:val="3"/>
              <w:numPr>
                <w:ilvl w:val="0"/>
                <w:numId w:val="0"/>
              </w:numPr>
              <w:ind w:firstLine="420" w:firstLineChars="200"/>
              <w:rPr>
                <w:rFonts w:hint="default" w:eastAsia="宋体"/>
                <w:lang w:val="en-US" w:eastAsia="zh-CN"/>
              </w:rPr>
            </w:pPr>
            <w:r>
              <w:rPr>
                <w:rFonts w:hint="eastAsia"/>
                <w:lang w:val="en-US" w:eastAsia="zh-CN"/>
              </w:rPr>
              <w:t>提供的第三方废气和噪声监测，达标排放。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80" w:lineRule="exact"/>
              <w:ind w:firstLine="420" w:firstLineChars="200"/>
              <w:rPr>
                <w:rFonts w:hint="eastAsia" w:ascii="宋体" w:hAnsi="宋体" w:cs="Times New Roman"/>
                <w:color w:val="000000"/>
                <w:lang w:val="en-US" w:eastAsia="zh-CN"/>
              </w:rPr>
            </w:pPr>
            <w:r>
              <w:rPr>
                <w:rFonts w:hint="eastAsia" w:ascii="宋体" w:hAnsi="宋体" w:cs="宋体"/>
                <w:szCs w:val="21"/>
                <w:lang w:val="en-US" w:eastAsia="zh-CN"/>
              </w:rPr>
              <w:t>环评报告批复和验收申请的单位为湖州市练市神龙电讯厂128号；排污许可证编号：913305036639305673001W;  又提供：；经核查，浙江鼎强电气科技有限公司的生产过程、生产线、生产量均与湖州市练市神龙电讯厂</w:t>
            </w:r>
            <w:r>
              <w:rPr>
                <w:rFonts w:hint="eastAsia" w:ascii="宋体" w:hAnsi="宋体" w:cs="Times New Roman"/>
                <w:color w:val="000000"/>
                <w:lang w:val="en-US" w:eastAsia="zh-CN"/>
              </w:rPr>
              <w:t>环评批复验收的信息一致；</w:t>
            </w:r>
          </w:p>
          <w:p>
            <w:pPr>
              <w:spacing w:line="280" w:lineRule="exact"/>
              <w:ind w:firstLine="420" w:firstLineChars="200"/>
              <w:rPr>
                <w:rFonts w:hint="eastAsia" w:ascii="宋体" w:hAnsi="宋体" w:cs="Times New Roman"/>
                <w:color w:val="000000"/>
                <w:lang w:val="en-US" w:eastAsia="zh-CN"/>
              </w:rPr>
            </w:pPr>
            <w:r>
              <w:rPr>
                <w:rFonts w:hint="eastAsia" w:ascii="宋体" w:hAnsi="宋体" w:cs="Times New Roman"/>
                <w:color w:val="000000"/>
                <w:lang w:val="en-US" w:eastAsia="zh-CN"/>
              </w:rPr>
              <w:t>湖州市练市神龙电讯厂的环评批复文件为湖环建[2007]128号</w:t>
            </w:r>
            <w:r>
              <w:rPr>
                <w:rFonts w:hint="eastAsia" w:ascii="宋体" w:hAnsi="宋体"/>
                <w:color w:val="000000"/>
                <w:lang w:val="en-US" w:eastAsia="zh-CN"/>
              </w:rPr>
              <w:t>，环评验收意见文件为湖环建验</w:t>
            </w:r>
            <w:r>
              <w:rPr>
                <w:rFonts w:hint="eastAsia" w:ascii="宋体" w:hAnsi="宋体" w:cs="Times New Roman"/>
                <w:color w:val="000000"/>
                <w:lang w:val="en-US" w:eastAsia="zh-CN"/>
              </w:rPr>
              <w:t>[2010]63号；</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核定产品为漆包线550T。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80" w:lineRule="exact"/>
              <w:ind w:firstLine="420" w:firstLineChars="200"/>
              <w:rPr>
                <w:b/>
                <w:color w:val="000000" w:themeColor="text1"/>
                <w:sz w:val="20"/>
                <w:szCs w:val="20"/>
              </w:rPr>
            </w:pPr>
            <w:r>
              <w:rPr>
                <w:rFonts w:hint="eastAsia" w:ascii="宋体" w:hAnsi="宋体" w:eastAsia="宋体" w:cs="宋体"/>
                <w:szCs w:val="21"/>
                <w:lang w:val="en-US" w:eastAsia="zh-CN"/>
              </w:rPr>
              <w:t>提供职业病危害因素检测报告；报告结论：包漆车间甲酚、苯、甲苯、二甲苯、苯酚结论合格；拉丝车间的噪声结论不合格；包漆车间噪声合格；</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b/>
                <w:color w:val="0000FF"/>
                <w:sz w:val="20"/>
                <w:szCs w:val="20"/>
                <w:lang w:val="en-US" w:eastAsia="zh-CN"/>
              </w:rPr>
              <w:t>未有监督检查。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numPr>
                <w:ilvl w:val="0"/>
                <w:numId w:val="4"/>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其他能够标明组织绩效、信誉的证据/信息：</w:t>
            </w:r>
            <w:r>
              <w:rPr>
                <w:rFonts w:hint="eastAsia"/>
                <w:b/>
                <w:color w:val="000000" w:themeColor="text1"/>
                <w:sz w:val="20"/>
                <w:szCs w:val="20"/>
                <w:lang w:val="en-US" w:eastAsia="zh-CN"/>
              </w:rPr>
              <w:t>无</w:t>
            </w:r>
          </w:p>
          <w:p>
            <w:pPr>
              <w:widowControl/>
              <w:numPr>
                <w:ilvl w:val="0"/>
                <w:numId w:val="0"/>
              </w:numPr>
              <w:spacing w:line="240" w:lineRule="exact"/>
              <w:ind w:left="0" w:leftChars="0" w:firstLine="0" w:firstLineChars="0"/>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企业自体系建立以来，通过内审的改进、管理评审；纠正措施的实施、顾客满意度调查等措施，采取了具体的改进措施。基本符合要求。</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pacing w:val="-20"/>
                <w:sz w:val="20"/>
                <w:szCs w:val="20"/>
                <w:lang w:val="en-US" w:eastAsia="zh-CN"/>
              </w:rPr>
              <w:t>现场验证，第一个问题已经整改； 第二个问题未整改； 开出二阶段不符合项。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4.创新情况</w:t>
            </w:r>
            <w:r>
              <w:rPr>
                <w:rFonts w:hint="eastAsia"/>
                <w:b/>
                <w:color w:val="000000" w:themeColor="text1"/>
                <w:sz w:val="20"/>
                <w:szCs w:val="20"/>
                <w:lang w:val="en-US" w:eastAsia="zh-CN"/>
              </w:rPr>
              <w:t>地我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5. 上次不符合的整改情况（再认证填写）</w:t>
            </w:r>
            <w:r>
              <w:rPr>
                <w:rFonts w:hint="eastAsia"/>
                <w:b/>
                <w:color w:val="000000" w:themeColor="text1"/>
                <w:szCs w:val="21"/>
                <w:lang w:val="en-US" w:eastAsia="zh-CN"/>
              </w:rPr>
              <w:t>无</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3</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3</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3"/>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2"/>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10"/>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2336" behindDoc="1" locked="0" layoutInCell="1" allowOverlap="1">
            <wp:simplePos x="0" y="0"/>
            <wp:positionH relativeFrom="column">
              <wp:posOffset>1545590</wp:posOffset>
            </wp:positionH>
            <wp:positionV relativeFrom="paragraph">
              <wp:posOffset>309245</wp:posOffset>
            </wp:positionV>
            <wp:extent cx="607695" cy="439420"/>
            <wp:effectExtent l="0" t="0" r="0" b="2540"/>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stretch>
                      <a:fillRect/>
                    </a:stretch>
                  </pic:blipFill>
                  <pic:spPr>
                    <a:xfrm>
                      <a:off x="0" y="0"/>
                      <a:ext cx="607695" cy="43942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64384" behindDoc="1" locked="0" layoutInCell="1" allowOverlap="1">
            <wp:simplePos x="0" y="0"/>
            <wp:positionH relativeFrom="column">
              <wp:posOffset>2166620</wp:posOffset>
            </wp:positionH>
            <wp:positionV relativeFrom="paragraph">
              <wp:posOffset>45720</wp:posOffset>
            </wp:positionV>
            <wp:extent cx="740410" cy="461010"/>
            <wp:effectExtent l="0" t="0" r="0" b="0"/>
            <wp:wrapNone/>
            <wp:docPr id="5" name="图片 5" descr="石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石帆"/>
                    <pic:cNvPicPr>
                      <a:picLocks noChangeAspect="1"/>
                    </pic:cNvPicPr>
                  </pic:nvPicPr>
                  <pic:blipFill>
                    <a:blip r:embed="rId7"/>
                    <a:stretch>
                      <a:fillRect/>
                    </a:stretch>
                  </pic:blipFill>
                  <pic:spPr>
                    <a:xfrm>
                      <a:off x="0" y="0"/>
                      <a:ext cx="740410" cy="461010"/>
                    </a:xfrm>
                    <a:prstGeom prst="rect">
                      <a:avLst/>
                    </a:prstGeom>
                  </pic:spPr>
                </pic:pic>
              </a:graphicData>
            </a:graphic>
          </wp:anchor>
        </w:drawing>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eastAsia="宋体"/>
          <w:b/>
          <w:color w:val="000000" w:themeColor="text1"/>
          <w:sz w:val="26"/>
          <w:szCs w:val="26"/>
          <w:lang w:eastAsia="zh-CN"/>
        </w:rPr>
        <w:drawing>
          <wp:anchor distT="0" distB="0" distL="114300" distR="114300" simplePos="0" relativeHeight="251663360" behindDoc="1" locked="0" layoutInCell="1" allowOverlap="1">
            <wp:simplePos x="0" y="0"/>
            <wp:positionH relativeFrom="column">
              <wp:posOffset>1531620</wp:posOffset>
            </wp:positionH>
            <wp:positionV relativeFrom="paragraph">
              <wp:posOffset>0</wp:posOffset>
            </wp:positionV>
            <wp:extent cx="572135" cy="273050"/>
            <wp:effectExtent l="0" t="0" r="6985" b="1270"/>
            <wp:wrapNone/>
            <wp:docPr id="4" name="图片 4" descr="方小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方小娥"/>
                    <pic:cNvPicPr>
                      <a:picLocks noChangeAspect="1"/>
                    </pic:cNvPicPr>
                  </pic:nvPicPr>
                  <pic:blipFill>
                    <a:blip r:embed="rId8"/>
                    <a:stretch>
                      <a:fillRect/>
                    </a:stretch>
                  </pic:blipFill>
                  <pic:spPr>
                    <a:xfrm>
                      <a:off x="0" y="0"/>
                      <a:ext cx="572135" cy="273050"/>
                    </a:xfrm>
                    <a:prstGeom prst="rect">
                      <a:avLst/>
                    </a:prstGeom>
                  </pic:spPr>
                </pic:pic>
              </a:graphicData>
            </a:graphic>
          </wp:anchor>
        </w:drawing>
      </w:r>
      <w:r>
        <w:rPr>
          <w:rFonts w:hint="eastAsia"/>
          <w:b/>
          <w:color w:val="000000" w:themeColor="text1"/>
          <w:sz w:val="26"/>
          <w:szCs w:val="26"/>
          <w:lang w:val="en-US" w:eastAsia="zh-CN"/>
        </w:rPr>
        <w:t xml:space="preserve">         </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2</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3</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5408" behindDoc="1" locked="0" layoutInCell="1" allowOverlap="1">
            <wp:simplePos x="0" y="0"/>
            <wp:positionH relativeFrom="column">
              <wp:posOffset>694055</wp:posOffset>
            </wp:positionH>
            <wp:positionV relativeFrom="paragraph">
              <wp:posOffset>107315</wp:posOffset>
            </wp:positionV>
            <wp:extent cx="607695" cy="439420"/>
            <wp:effectExtent l="0" t="0" r="0" b="2540"/>
            <wp:wrapNone/>
            <wp:docPr id="6" name="图片 6"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林兵签名"/>
                    <pic:cNvPicPr>
                      <a:picLocks noChangeAspect="1"/>
                    </pic:cNvPicPr>
                  </pic:nvPicPr>
                  <pic:blipFill>
                    <a:blip r:embed="rId6"/>
                    <a:stretch>
                      <a:fillRect/>
                    </a:stretch>
                  </pic:blipFill>
                  <pic:spPr>
                    <a:xfrm>
                      <a:off x="0" y="0"/>
                      <a:ext cx="607695" cy="43942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9</w:t>
      </w:r>
      <w:r>
        <w:rPr>
          <w:rFonts w:hint="eastAsia"/>
          <w:b/>
          <w:color w:val="000000" w:themeColor="text1"/>
          <w:szCs w:val="21"/>
        </w:rPr>
        <w:t>月</w:t>
      </w:r>
      <w:r>
        <w:rPr>
          <w:rFonts w:hint="eastAsia"/>
          <w:b/>
          <w:color w:val="000000" w:themeColor="text1"/>
          <w:szCs w:val="21"/>
          <w:lang w:val="en-US" w:eastAsia="zh-CN"/>
        </w:rPr>
        <w:t>1</w:t>
      </w:r>
      <w:bookmarkStart w:id="22" w:name="_GoBack"/>
      <w:bookmarkEnd w:id="22"/>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bookmarkEnd w:id="21"/>
  </w:p>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902DE"/>
    <w:multiLevelType w:val="singleLevel"/>
    <w:tmpl w:val="8EB902DE"/>
    <w:lvl w:ilvl="0" w:tentative="0">
      <w:start w:val="8"/>
      <w:numFmt w:val="decimal"/>
      <w:suff w:val="space"/>
      <w:lvlText w:val="%1."/>
      <w:lvlJc w:val="left"/>
    </w:lvl>
  </w:abstractNum>
  <w:abstractNum w:abstractNumId="1">
    <w:nsid w:val="21F668A5"/>
    <w:multiLevelType w:val="singleLevel"/>
    <w:tmpl w:val="21F668A5"/>
    <w:lvl w:ilvl="0" w:tentative="0">
      <w:start w:val="5"/>
      <w:numFmt w:val="decimal"/>
      <w:suff w:val="space"/>
      <w:lvlText w:val="%1."/>
      <w:lvlJc w:val="left"/>
      <w:pPr>
        <w:ind w:left="100" w:leftChars="0" w:firstLine="0" w:firstLineChars="0"/>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21116F"/>
    <w:rsid w:val="1B2A41EA"/>
    <w:rsid w:val="3A130CB9"/>
    <w:rsid w:val="3C5F79E9"/>
    <w:rsid w:val="42A136C4"/>
    <w:rsid w:val="642A3A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widowControl/>
      <w:spacing w:before="50" w:line="360" w:lineRule="auto"/>
      <w:ind w:firstLine="567"/>
      <w:jc w:val="left"/>
    </w:pPr>
    <w:rPr>
      <w:sz w:val="28"/>
      <w:szCs w:val="20"/>
    </w:r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Plain Text"/>
    <w:basedOn w:val="1"/>
    <w:qFormat/>
    <w:uiPriority w:val="99"/>
    <w:rPr>
      <w:rFonts w:ascii="宋体" w:hAnsi="Courier New"/>
      <w:szCs w:val="21"/>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9"/>
    <w:qFormat/>
    <w:uiPriority w:val="99"/>
    <w:rPr>
      <w:rFonts w:ascii="Times New Roman" w:hAnsi="Times New Roman" w:eastAsia="宋体" w:cs="Times New Roman"/>
      <w:sz w:val="18"/>
      <w:szCs w:val="18"/>
    </w:rPr>
  </w:style>
  <w:style w:type="character" w:customStyle="1" w:styleId="18">
    <w:name w:val="页脚 Char"/>
    <w:basedOn w:val="14"/>
    <w:link w:val="8"/>
    <w:qFormat/>
    <w:uiPriority w:val="99"/>
    <w:rPr>
      <w:rFonts w:ascii="Times New Roman" w:hAnsi="Times New Roman" w:eastAsia="宋体" w:cs="Times New Roman"/>
      <w:sz w:val="18"/>
      <w:szCs w:val="18"/>
    </w:rPr>
  </w:style>
  <w:style w:type="character" w:customStyle="1" w:styleId="19">
    <w:name w:val="批注框文本 Char"/>
    <w:basedOn w:val="14"/>
    <w:link w:val="7"/>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_Style 2"/>
    <w:basedOn w:val="1"/>
    <w:qFormat/>
    <w:uiPriority w:val="34"/>
    <w:pPr>
      <w:ind w:firstLine="420" w:firstLineChars="200"/>
    </w:pPr>
    <w:rPr>
      <w:rFonts w:ascii="Calibri"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2021-09-01T14:39:42Z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398CEF6686E94EDFA51AA3723E1EC89F</vt:lpwstr>
  </property>
</Properties>
</file>