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受审核部门：整个公司，主管领导</w:t>
            </w:r>
            <w:r>
              <w:rPr>
                <w:rFonts w:hint="eastAsia" w:ascii="Times New Roman" w:hAnsi="Times New Roman" w:cs="Times New Roman"/>
                <w:sz w:val="24"/>
                <w:szCs w:val="24"/>
                <w:lang w:val="en-US" w:eastAsia="zh-CN"/>
              </w:rPr>
              <w:t xml:space="preserve">：张金方、潘强勇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 xml:space="preserve"> 严新华/杨知亮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审核员：林兵、</w:t>
            </w:r>
            <w:r>
              <w:rPr>
                <w:rFonts w:hint="eastAsia"/>
                <w:sz w:val="24"/>
                <w:szCs w:val="24"/>
                <w:lang w:val="en-US" w:eastAsia="zh-CN"/>
              </w:rPr>
              <w:t>方小娥</w:t>
            </w:r>
            <w:r>
              <w:rPr>
                <w:rFonts w:hint="eastAsia"/>
                <w:sz w:val="24"/>
                <w:szCs w:val="24"/>
              </w:rPr>
              <w:t>、</w:t>
            </w:r>
            <w:r>
              <w:rPr>
                <w:rFonts w:hint="eastAsia"/>
                <w:sz w:val="24"/>
                <w:szCs w:val="24"/>
                <w:lang w:val="en-US" w:eastAsia="zh-CN"/>
              </w:rPr>
              <w:t>石帆</w:t>
            </w:r>
            <w:r>
              <w:rPr>
                <w:rFonts w:hint="eastAsia"/>
                <w:sz w:val="24"/>
                <w:szCs w:val="24"/>
              </w:rPr>
              <w:t>；审核时间：202</w:t>
            </w:r>
            <w:r>
              <w:rPr>
                <w:rFonts w:hint="eastAsia"/>
                <w:sz w:val="24"/>
                <w:szCs w:val="24"/>
                <w:lang w:val="en-US" w:eastAsia="zh-CN"/>
              </w:rPr>
              <w:t>1</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24</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 xml:space="preserve">企业基本情况 </w:t>
            </w:r>
          </w:p>
        </w:tc>
        <w:tc>
          <w:tcPr>
            <w:tcW w:w="960" w:type="dxa"/>
          </w:tcPr>
          <w:p/>
        </w:tc>
        <w:tc>
          <w:tcPr>
            <w:tcW w:w="10004" w:type="dxa"/>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ascii="宋体" w:hAnsi="宋体"/>
                <w:szCs w:val="22"/>
                <w:u w:val="single"/>
                <w:lang w:val="en-US" w:eastAsia="zh-CN"/>
              </w:rPr>
              <w:t>张金方</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潘强勇</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pPr>
            <w:r>
              <w:rPr>
                <w:rFonts w:hint="eastAsia" w:ascii="宋体" w:hAnsi="宋体"/>
              </w:rPr>
              <w:t>3）</w:t>
            </w:r>
            <w:r>
              <w:rPr>
                <w:rFonts w:hint="eastAsia" w:ascii="宋体" w:hAnsi="宋体"/>
                <w:szCs w:val="21"/>
              </w:rPr>
              <w:t>■</w:t>
            </w:r>
            <w:r>
              <w:rPr>
                <w:rFonts w:hint="eastAsia" w:ascii="宋体" w:hAnsi="宋体"/>
              </w:rPr>
              <w:t>任命安全事务代表：</w:t>
            </w:r>
            <w:r>
              <w:rPr>
                <w:rFonts w:hint="eastAsia" w:ascii="宋体" w:hAnsi="宋体" w:cs="Times New Roman"/>
                <w:u w:val="single"/>
                <w:lang w:val="en-US" w:eastAsia="zh-CN"/>
              </w:rPr>
              <w:t>曹玉婷</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28</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/E/0 ：</w:t>
            </w:r>
            <w:r>
              <w:rPr>
                <w:rFonts w:hint="eastAsia" w:ascii="宋体" w:hAnsi="宋体"/>
                <w:u w:val="single"/>
              </w:rPr>
              <w:t xml:space="preserve"> 各</w:t>
            </w:r>
            <w:r>
              <w:rPr>
                <w:rFonts w:hint="eastAsia" w:ascii="宋体" w:hAnsi="宋体"/>
                <w:u w:val="single"/>
                <w:lang w:val="en-US" w:eastAsia="zh-CN"/>
              </w:rPr>
              <w:t>28</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2160" w:type="dxa"/>
          </w:tcPr>
          <w:p/>
        </w:tc>
        <w:tc>
          <w:tcPr>
            <w:tcW w:w="960" w:type="dxa"/>
          </w:tcPr>
          <w:p/>
        </w:tc>
        <w:tc>
          <w:tcPr>
            <w:tcW w:w="10004" w:type="dxa"/>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拉丝车间、漆包车间、化学品仓库、危险固废仓库、配电房等</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widowControl/>
              <w:spacing w:line="280" w:lineRule="exact"/>
              <w:rPr>
                <w:rFonts w:hint="eastAsia" w:ascii="宋体" w:hAnsi="宋体" w:cs="Times New Roman"/>
                <w:szCs w:val="21"/>
              </w:rPr>
            </w:pPr>
            <w:r>
              <w:rPr>
                <w:rFonts w:hint="eastAsia" w:ascii="宋体" w:hAnsi="宋体" w:cs="Times New Roman"/>
                <w:szCs w:val="21"/>
              </w:rPr>
              <w:t xml:space="preserve">5、体系覆盖产品、服务、活动范围为：  </w:t>
            </w:r>
          </w:p>
          <w:p>
            <w:pPr>
              <w:widowControl/>
              <w:spacing w:line="280" w:lineRule="exact"/>
              <w:rPr>
                <w:rFonts w:hint="eastAsia" w:ascii="宋体" w:hAnsi="宋体" w:cs="Times New Roman"/>
                <w:szCs w:val="21"/>
              </w:rPr>
            </w:pPr>
            <w:bookmarkStart w:id="0" w:name="审核范围"/>
            <w:r>
              <w:rPr>
                <w:rFonts w:hint="eastAsia" w:ascii="宋体" w:hAnsi="宋体" w:cs="Times New Roman"/>
                <w:szCs w:val="21"/>
              </w:rPr>
              <w:t>Q：漆包线的生产（资质许可范围内除外）</w:t>
            </w:r>
          </w:p>
          <w:p>
            <w:pPr>
              <w:widowControl/>
              <w:spacing w:line="280" w:lineRule="exact"/>
              <w:rPr>
                <w:rFonts w:hint="eastAsia" w:ascii="宋体" w:hAnsi="宋体" w:cs="Times New Roman"/>
                <w:szCs w:val="21"/>
              </w:rPr>
            </w:pPr>
            <w:r>
              <w:rPr>
                <w:rFonts w:hint="eastAsia" w:ascii="宋体" w:hAnsi="宋体" w:cs="Times New Roman"/>
                <w:szCs w:val="21"/>
              </w:rPr>
              <w:t>E：漆包线的生产（资质许可范围内除外）所涉及场所的相关环境管理活动</w:t>
            </w:r>
          </w:p>
          <w:p>
            <w:pPr>
              <w:widowControl/>
              <w:spacing w:line="280" w:lineRule="exact"/>
              <w:rPr>
                <w:rFonts w:hint="eastAsia" w:ascii="宋体" w:hAnsi="宋体" w:cs="Times New Roman"/>
                <w:szCs w:val="21"/>
              </w:rPr>
            </w:pPr>
            <w:r>
              <w:rPr>
                <w:rFonts w:hint="eastAsia" w:ascii="宋体" w:hAnsi="宋体" w:cs="Times New Roman"/>
                <w:szCs w:val="21"/>
              </w:rPr>
              <w:t>O：漆包线的生产（资质许可范围内除外）所涉及场所的相关职业健康安全管理活动</w:t>
            </w:r>
            <w:bookmarkEnd w:id="0"/>
          </w:p>
          <w:p>
            <w:pPr>
              <w:widowControl/>
              <w:spacing w:line="280" w:lineRule="exact"/>
            </w:pPr>
            <w:r>
              <w:rPr>
                <w:rFonts w:hint="eastAsia" w:ascii="宋体" w:hAnsi="宋体" w:cs="Times New Roman"/>
                <w:szCs w:val="21"/>
              </w:rPr>
              <w:t>确认体系文件中描述的、与申请的、与实际的是否一致：■一致，□不一致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s="宋体"/>
                <w:szCs w:val="21"/>
              </w:rPr>
              <w:t>■</w:t>
            </w: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t>□有，条款及要求：</w:t>
            </w:r>
            <w:r>
              <w:rPr>
                <w:rFonts w:hint="eastAsia" w:ascii="宋体" w:hAnsi="宋体"/>
                <w:color w:val="000000"/>
                <w:szCs w:val="21"/>
                <w:u w:val="single"/>
              </w:rPr>
              <w:t>　</w:t>
            </w:r>
            <w:r>
              <w:rPr>
                <w:rFonts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p>
          <w:p>
            <w:pPr>
              <w:adjustRightInd w:val="0"/>
              <w:spacing w:line="280" w:lineRule="exact"/>
              <w:jc w:val="left"/>
              <w:rPr>
                <w:rFonts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r>
              <w:rPr>
                <w:rFonts w:hint="eastAsia" w:ascii="宋体" w:hAnsi="宋体"/>
                <w:b/>
                <w:bCs/>
              </w:rPr>
              <w:t>管理体系文件</w:t>
            </w:r>
          </w:p>
        </w:tc>
        <w:tc>
          <w:tcPr>
            <w:tcW w:w="960" w:type="dxa"/>
          </w:tcPr>
          <w:p/>
        </w:tc>
        <w:tc>
          <w:tcPr>
            <w:tcW w:w="10004" w:type="dxa"/>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202</w:t>
            </w:r>
            <w:r>
              <w:rPr>
                <w:rFonts w:hint="eastAsia" w:ascii="宋体" w:hAnsi="宋体"/>
                <w:u w:val="single"/>
                <w:lang w:val="en-US" w:eastAsia="zh-CN"/>
              </w:rPr>
              <w:t>1</w:t>
            </w:r>
            <w:r>
              <w:rPr>
                <w:rFonts w:hint="eastAsia" w:ascii="宋体" w:hAnsi="宋体"/>
                <w:u w:val="single"/>
              </w:rPr>
              <w:t>年1月</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ascii="宋体" w:hAnsi="宋体"/>
                <w:color w:val="333333"/>
                <w:szCs w:val="21"/>
              </w:rPr>
            </w:pPr>
            <w:r>
              <w:rPr>
                <w:rFonts w:hint="eastAsia" w:ascii="Arial" w:hAnsi="Arial" w:cs="Arial"/>
                <w:szCs w:val="21"/>
              </w:rPr>
              <w:t>管理制度、作业指导书、检验规范。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21</w:t>
            </w:r>
            <w:r>
              <w:rPr>
                <w:rFonts w:hint="eastAsia" w:ascii="宋体" w:hAnsi="宋体"/>
                <w:szCs w:val="22"/>
              </w:rPr>
              <w:t>年1月</w:t>
            </w:r>
            <w:r>
              <w:rPr>
                <w:rFonts w:hint="eastAsia" w:ascii="宋体" w:hAnsi="宋体"/>
                <w:szCs w:val="22"/>
                <w:lang w:val="en-US" w:eastAsia="zh-CN"/>
              </w:rPr>
              <w:t>1</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ascii="Arial" w:hAnsi="Arial" w:cs="Arial"/>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r>
              <w:rPr>
                <w:rFonts w:hint="eastAsia"/>
                <w:szCs w:val="21"/>
              </w:rPr>
              <w:t>6.1</w:t>
            </w:r>
          </w:p>
        </w:tc>
        <w:tc>
          <w:tcPr>
            <w:tcW w:w="10004" w:type="dxa"/>
          </w:tcPr>
          <w:p>
            <w:pPr>
              <w:adjustRightInd w:val="0"/>
              <w:spacing w:line="360" w:lineRule="auto"/>
              <w:rPr>
                <w:rFonts w:hint="eastAsia" w:ascii="宋体" w:hAnsi="宋体" w:eastAsia="宋体" w:cs="Times New Roman"/>
              </w:rPr>
            </w:pPr>
            <w:r>
              <w:rPr>
                <w:rFonts w:hint="eastAsia" w:ascii="宋体" w:hAnsi="宋体" w:eastAsia="宋体" w:cs="Times New Roman"/>
              </w:rPr>
              <w:t>与组织目标和战略方向相关并影响其实现管理体系预期结果的各种外部和内部因素:</w:t>
            </w:r>
          </w:p>
          <w:p>
            <w:pPr>
              <w:adjustRightInd w:val="0"/>
              <w:spacing w:line="360" w:lineRule="auto"/>
              <w:rPr>
                <w:rFonts w:hint="eastAsia" w:ascii="宋体" w:hAnsi="宋体" w:eastAsia="宋体" w:cs="Times New Roman"/>
              </w:rPr>
            </w:pPr>
            <w:r>
              <w:rPr>
                <w:rFonts w:hint="eastAsia" w:ascii="宋体" w:hAnsi="宋体" w:eastAsia="宋体" w:cs="Times New Roman"/>
              </w:rPr>
              <w:t>1）确定情况：</w:t>
            </w:r>
          </w:p>
          <w:p>
            <w:pPr>
              <w:adjustRightInd w:val="0"/>
              <w:spacing w:line="360" w:lineRule="auto"/>
              <w:rPr>
                <w:rFonts w:hint="eastAsia" w:ascii="宋体" w:hAnsi="宋体" w:eastAsia="宋体" w:cs="Times New Roman"/>
              </w:rPr>
            </w:pPr>
            <w:r>
              <w:rPr>
                <w:rFonts w:hint="eastAsia" w:ascii="宋体" w:hAnsi="宋体" w:eastAsia="宋体" w:cs="Times New Roman"/>
              </w:rPr>
              <w:t>提供《组织的内外重要环境因素分析表》，确定了公司相关的内外部因素。</w:t>
            </w:r>
          </w:p>
          <w:p>
            <w:pPr>
              <w:adjustRightInd w:val="0"/>
              <w:spacing w:line="360" w:lineRule="auto"/>
              <w:rPr>
                <w:rFonts w:hint="eastAsia" w:ascii="宋体" w:hAnsi="宋体" w:eastAsia="宋体" w:cs="Times New Roman"/>
              </w:rPr>
            </w:pPr>
            <w:r>
              <w:rPr>
                <w:rFonts w:hint="eastAsia" w:ascii="宋体" w:hAnsi="宋体" w:eastAsia="宋体" w:cs="Times New Roman"/>
              </w:rPr>
              <w:t>2）监视和评审情况：</w:t>
            </w:r>
          </w:p>
          <w:p>
            <w:pPr>
              <w:adjustRightInd w:val="0"/>
              <w:spacing w:line="360" w:lineRule="auto"/>
              <w:rPr>
                <w:rFonts w:ascii="Arial" w:hAnsi="Arial" w:cs="Arial"/>
                <w:szCs w:val="21"/>
                <w:highlight w:val="yellow"/>
              </w:rPr>
            </w:pPr>
            <w:r>
              <w:rPr>
                <w:rFonts w:hint="eastAsia" w:ascii="宋体" w:hAnsi="宋体" w:eastAsia="宋体" w:cs="Times New Roman"/>
              </w:rPr>
              <w:t xml:space="preserve">   每年监视评审一次，一般是从网络获取。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ascii="Arial" w:hAnsi="Arial" w:cs="Arial"/>
                <w:szCs w:val="21"/>
              </w:rPr>
            </w:pPr>
            <w:r>
              <w:rPr>
                <w:rFonts w:hint="eastAsia" w:ascii="宋体" w:hAnsi="宋体"/>
                <w:szCs w:val="21"/>
              </w:rPr>
              <w:t>提供《组织的内外重要环境因素分析表》，确定了公司相关的内外部因素。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default"/>
                <w:szCs w:val="21"/>
                <w:lang w:val="en-US"/>
              </w:rPr>
            </w:pPr>
            <w:r>
              <w:rPr>
                <w:rFonts w:hint="eastAsia" w:ascii="宋体" w:hAnsi="宋体"/>
                <w:szCs w:val="21"/>
              </w:rPr>
              <w:t xml:space="preserve">    </w:t>
            </w:r>
            <w:r>
              <w:rPr>
                <w:rFonts w:hint="eastAsia"/>
                <w:szCs w:val="21"/>
              </w:rPr>
              <w:t xml:space="preserve"> 过程：</w:t>
            </w:r>
            <w:r>
              <w:rPr>
                <w:rFonts w:hint="eastAsia" w:ascii="Times New Roman" w:hAnsi="Times New Roman" w:cs="Times New Roman"/>
                <w:b/>
                <w:sz w:val="20"/>
                <w:lang w:val="en-US" w:eastAsia="zh-CN"/>
              </w:rPr>
              <w:t>铜丝-拉丝-</w:t>
            </w:r>
            <w:r>
              <w:rPr>
                <w:rFonts w:hint="eastAsia" w:cs="Times New Roman"/>
                <w:b/>
                <w:sz w:val="20"/>
                <w:lang w:val="en-US" w:eastAsia="zh-CN"/>
              </w:rPr>
              <w:t>过程</w:t>
            </w:r>
            <w:r>
              <w:rPr>
                <w:rFonts w:hint="eastAsia" w:ascii="Times New Roman" w:hAnsi="Times New Roman" w:cs="Times New Roman"/>
                <w:b/>
                <w:sz w:val="20"/>
                <w:lang w:val="en-US" w:eastAsia="zh-CN"/>
              </w:rPr>
              <w:t>检测</w:t>
            </w:r>
            <w:r>
              <w:rPr>
                <w:rFonts w:hint="eastAsia" w:cs="Times New Roman"/>
                <w:b/>
                <w:sz w:val="20"/>
                <w:lang w:val="en-US" w:eastAsia="zh-CN"/>
              </w:rPr>
              <w:t>（线径）</w:t>
            </w:r>
            <w:r>
              <w:rPr>
                <w:rFonts w:hint="eastAsia" w:ascii="Times New Roman" w:hAnsi="Times New Roman" w:cs="Times New Roman"/>
                <w:b/>
                <w:sz w:val="20"/>
                <w:lang w:val="en-US" w:eastAsia="zh-CN"/>
              </w:rPr>
              <w:t>-漆包-检测-包装</w:t>
            </w:r>
            <w:r>
              <w:rPr>
                <w:rFonts w:hint="eastAsia"/>
                <w:b/>
                <w:sz w:val="20"/>
                <w:lang w:val="en-US" w:eastAsia="zh-CN"/>
              </w:rPr>
              <w:t>；</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adjustRightInd w:val="0"/>
              <w:spacing w:line="360" w:lineRule="auto"/>
              <w:ind w:firstLine="315" w:firstLineChars="150"/>
              <w:jc w:val="left"/>
              <w:rPr>
                <w:rFonts w:hint="default" w:ascii="宋体" w:hAnsi="宋体"/>
                <w:szCs w:val="21"/>
                <w:lang w:val="en-US"/>
              </w:rPr>
            </w:pPr>
            <w:r>
              <w:rPr>
                <w:rFonts w:hint="eastAsia" w:ascii="宋体" w:hAnsi="宋体"/>
                <w:szCs w:val="21"/>
              </w:rPr>
              <w:t xml:space="preserve"> </w:t>
            </w:r>
            <w:r>
              <w:rPr>
                <w:rFonts w:hint="eastAsia" w:ascii="Times New Roman" w:hAnsi="Times New Roman" w:cs="Times New Roman"/>
                <w:b/>
                <w:sz w:val="20"/>
                <w:lang w:val="en-US" w:eastAsia="zh-CN"/>
              </w:rPr>
              <w:t xml:space="preserve"> 拉丝工序和漆包工序；</w:t>
            </w:r>
          </w:p>
          <w:p>
            <w:pPr>
              <w:adjustRightInd w:val="0"/>
              <w:spacing w:line="360" w:lineRule="auto"/>
              <w:ind w:firstLine="315" w:firstLineChars="150"/>
              <w:jc w:val="left"/>
              <w:rPr>
                <w:rFonts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eastAsia" w:ascii="宋体" w:hAnsi="宋体" w:eastAsia="宋体"/>
                <w:szCs w:val="21"/>
                <w:lang w:eastAsia="zh-CN"/>
              </w:rPr>
            </w:pPr>
            <w:r>
              <w:rPr>
                <w:rFonts w:hint="eastAsia" w:ascii="宋体" w:hAnsi="宋体"/>
                <w:szCs w:val="21"/>
                <w:lang w:eastAsia="zh-CN"/>
              </w:rPr>
              <w:sym w:font="Wingdings 2" w:char="0052"/>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r>
              <w:rPr>
                <w:rFonts w:hint="eastAsia" w:ascii="宋体" w:hAnsi="宋体"/>
                <w:color w:val="4F81BD"/>
                <w:lang w:val="en-US" w:eastAsia="zh-CN"/>
              </w:rPr>
              <w:t xml:space="preserve"> </w:t>
            </w:r>
            <w:r>
              <w:rPr>
                <w:rFonts w:hint="eastAsia" w:ascii="宋体" w:hAnsi="宋体"/>
              </w:rPr>
              <w:t xml:space="preserve">  </w:t>
            </w:r>
            <w:r>
              <w:rPr>
                <w:rFonts w:hint="eastAsia" w:ascii="宋体" w:hAnsi="宋体"/>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w:t>
            </w:r>
            <w:r>
              <w:rPr>
                <w:rFonts w:hint="eastAsia" w:ascii="宋体" w:hAnsi="宋体"/>
                <w:u w:val="single"/>
                <w:lang w:val="en-US" w:eastAsia="zh-CN"/>
              </w:rPr>
              <w:t>供销</w:t>
            </w:r>
            <w:r>
              <w:rPr>
                <w:rFonts w:hint="eastAsia" w:ascii="宋体" w:hAnsi="宋体"/>
                <w:u w:val="single"/>
              </w:rPr>
              <w:t>过程、</w:t>
            </w:r>
            <w:r>
              <w:rPr>
                <w:rFonts w:hint="eastAsia" w:ascii="宋体" w:hAnsi="宋体"/>
                <w:u w:val="single"/>
                <w:lang w:val="en-US" w:eastAsia="zh-CN"/>
              </w:rPr>
              <w:t>拉丝</w:t>
            </w:r>
            <w:r>
              <w:rPr>
                <w:rFonts w:hint="eastAsia" w:ascii="宋体" w:hAnsi="宋体"/>
                <w:u w:val="single"/>
              </w:rPr>
              <w:t>过程、</w:t>
            </w:r>
            <w:r>
              <w:rPr>
                <w:rFonts w:hint="eastAsia" w:ascii="宋体" w:hAnsi="宋体"/>
                <w:u w:val="single"/>
                <w:lang w:val="en-US" w:eastAsia="zh-CN"/>
              </w:rPr>
              <w:t>漆包过程</w:t>
            </w:r>
            <w:r>
              <w:rPr>
                <w:rFonts w:hint="eastAsia" w:ascii="宋体" w:hAnsi="宋体"/>
                <w:u w:val="single"/>
              </w:rPr>
              <w:t>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4</w:t>
            </w:r>
            <w:r>
              <w:rPr>
                <w:rFonts w:ascii="宋体" w:hAnsi="宋体"/>
                <w:u w:val="single"/>
              </w:rPr>
              <w:t xml:space="preserve">  </w:t>
            </w:r>
            <w:r>
              <w:rPr>
                <w:rFonts w:hint="eastAsia" w:ascii="宋体" w:hAnsi="宋体"/>
              </w:rPr>
              <w:t>项，经评价为重要环境因素的有：</w:t>
            </w:r>
          </w:p>
          <w:p>
            <w:pPr>
              <w:adjustRightInd w:val="0"/>
              <w:spacing w:line="360" w:lineRule="auto"/>
              <w:ind w:firstLine="420" w:firstLineChars="200"/>
              <w:jc w:val="left"/>
              <w:rPr>
                <w:rFonts w:ascii="宋体"/>
              </w:rPr>
            </w:pPr>
            <w:r>
              <w:rPr>
                <w:rFonts w:hint="eastAsia" w:ascii="宋体" w:hAnsi="宋体" w:eastAsia="宋体" w:cs="Times New Roman"/>
                <w:u w:val="single"/>
                <w:lang w:val="en-US" w:eastAsia="zh-CN"/>
              </w:rPr>
              <w:t>噪声排放、</w:t>
            </w:r>
            <w:r>
              <w:rPr>
                <w:rFonts w:hint="default" w:ascii="宋体" w:hAnsi="宋体" w:eastAsia="宋体" w:cs="Times New Roman"/>
                <w:u w:val="single"/>
                <w:lang w:val="en-US" w:eastAsia="zh-CN"/>
              </w:rPr>
              <w:t>固废</w:t>
            </w:r>
            <w:r>
              <w:rPr>
                <w:rFonts w:hint="eastAsia" w:ascii="宋体" w:hAnsi="宋体" w:eastAsia="宋体" w:cs="Times New Roman"/>
                <w:u w:val="single"/>
                <w:lang w:val="en-US" w:eastAsia="zh-CN"/>
              </w:rPr>
              <w:t>（拉丝用废油、聚氨酯漆、催化剂、溶剂油、废乳化液、废毛毡）排放、废气排放、</w:t>
            </w:r>
            <w:r>
              <w:rPr>
                <w:rFonts w:hint="eastAsia" w:ascii="宋体" w:hAnsi="宋体" w:cs="Times New Roman"/>
                <w:u w:val="single"/>
                <w:lang w:val="en-US" w:eastAsia="zh-CN"/>
              </w:rPr>
              <w:t>意外火灾</w:t>
            </w:r>
            <w:r>
              <w:rPr>
                <w:rFonts w:hint="eastAsia" w:ascii="宋体" w:hAnsi="宋体" w:eastAsia="宋体" w:cs="Times New Roman"/>
                <w:u w:val="single"/>
              </w:rPr>
              <w:t>等</w:t>
            </w:r>
            <w:r>
              <w:rPr>
                <w:rFonts w:hint="eastAsia" w:ascii="宋体" w:hAnsi="宋体"/>
                <w:u w:val="single"/>
              </w:rPr>
              <w:t>。</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hint="default" w:ascii="宋体" w:eastAsia="宋体"/>
                <w:szCs w:val="21"/>
                <w:lang w:val="en-US" w:eastAsia="zh-CN"/>
              </w:rPr>
            </w:pPr>
            <w:r>
              <w:rPr>
                <w:rFonts w:hint="eastAsia" w:ascii="宋体" w:hAnsi="宋体"/>
                <w:szCs w:val="21"/>
              </w:rPr>
              <w:sym w:font="Wingdings 2" w:char="00A3"/>
            </w:r>
            <w:r>
              <w:rPr>
                <w:rFonts w:hint="eastAsia" w:ascii="宋体" w:hAnsi="宋体"/>
                <w:szCs w:val="21"/>
              </w:rPr>
              <w:t>齐全</w:t>
            </w:r>
            <w:r>
              <w:rPr>
                <w:rFonts w:hint="eastAsia" w:ascii="宋体" w:hAnsi="宋体"/>
                <w:szCs w:val="21"/>
                <w:lang w:val="en-US" w:eastAsia="zh-CN"/>
              </w:rPr>
              <w:t xml:space="preserve">  </w:t>
            </w:r>
            <w:r>
              <w:rPr>
                <w:rFonts w:hint="eastAsia" w:ascii="宋体" w:hAnsi="宋体"/>
                <w:sz w:val="21"/>
                <w:lang w:val="en-US" w:eastAsia="zh-CN"/>
              </w:rPr>
              <w:t>。</w:t>
            </w:r>
          </w:p>
          <w:p>
            <w:pPr>
              <w:adjustRightInd w:val="0"/>
              <w:spacing w:line="360" w:lineRule="auto"/>
              <w:jc w:val="left"/>
              <w:rPr>
                <w:rFonts w:hint="default" w:ascii="宋体" w:hAnsi="宋体" w:eastAsia="宋体"/>
                <w:szCs w:val="21"/>
                <w:lang w:val="en-US" w:eastAsia="zh-CN"/>
              </w:rPr>
            </w:pPr>
            <w:r>
              <w:rPr>
                <w:rFonts w:hint="eastAsia" w:ascii="宋体" w:hAnsi="宋体"/>
                <w:szCs w:val="21"/>
              </w:rPr>
              <w:sym w:font="Wingdings 2" w:char="0052"/>
            </w:r>
            <w:r>
              <w:rPr>
                <w:rFonts w:hint="eastAsia" w:ascii="宋体" w:hAnsi="宋体"/>
                <w:szCs w:val="21"/>
              </w:rPr>
              <w:t>有遗漏，遗漏部分有：</w:t>
            </w:r>
            <w:r>
              <w:rPr>
                <w:rFonts w:ascii="宋体" w:hAnsi="宋体"/>
              </w:rPr>
              <w:t xml:space="preserve"> </w:t>
            </w:r>
            <w:r>
              <w:rPr>
                <w:rFonts w:hint="eastAsia" w:ascii="宋体" w:hAnsi="宋体"/>
                <w:lang w:val="en-US" w:eastAsia="zh-CN"/>
              </w:rPr>
              <w:t>噪声、能源消耗</w:t>
            </w:r>
            <w:bookmarkStart w:id="1" w:name="_GoBack"/>
            <w:bookmarkEnd w:id="1"/>
            <w:r>
              <w:rPr>
                <w:rFonts w:hint="eastAsia" w:ascii="宋体" w:hAnsi="宋体"/>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办办公过程、</w:t>
            </w:r>
            <w:r>
              <w:rPr>
                <w:rFonts w:hint="eastAsia" w:ascii="宋体" w:hAnsi="宋体"/>
                <w:u w:val="single"/>
                <w:lang w:val="en-US" w:eastAsia="zh-CN"/>
              </w:rPr>
              <w:t>供销</w:t>
            </w:r>
            <w:r>
              <w:rPr>
                <w:rFonts w:hint="eastAsia" w:ascii="宋体" w:hAnsi="宋体"/>
                <w:u w:val="single"/>
              </w:rPr>
              <w:t>过程、</w:t>
            </w:r>
            <w:r>
              <w:rPr>
                <w:rFonts w:hint="eastAsia" w:ascii="宋体" w:hAnsi="宋体"/>
                <w:u w:val="single"/>
                <w:lang w:val="en-US" w:eastAsia="zh-CN"/>
              </w:rPr>
              <w:t>拉丝</w:t>
            </w:r>
            <w:r>
              <w:rPr>
                <w:rFonts w:hint="eastAsia" w:ascii="宋体" w:hAnsi="宋体"/>
                <w:u w:val="single"/>
              </w:rPr>
              <w:t>过程、</w:t>
            </w:r>
            <w:r>
              <w:rPr>
                <w:rFonts w:hint="eastAsia" w:ascii="宋体" w:hAnsi="宋体"/>
                <w:u w:val="single"/>
                <w:lang w:val="en-US" w:eastAsia="zh-CN"/>
              </w:rPr>
              <w:t>漆包过程</w:t>
            </w:r>
            <w:r>
              <w:rPr>
                <w:rFonts w:hint="eastAsia" w:ascii="宋体" w:hAnsi="宋体"/>
                <w:u w:val="single"/>
              </w:rPr>
              <w:t>的因素</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5</w:t>
            </w:r>
            <w:r>
              <w:rPr>
                <w:rFonts w:ascii="宋体" w:hAnsi="宋体"/>
                <w:u w:val="single"/>
              </w:rPr>
              <w:t xml:space="preserve">  </w:t>
            </w:r>
            <w:r>
              <w:rPr>
                <w:rFonts w:hint="eastAsia" w:ascii="宋体" w:hAnsi="宋体"/>
              </w:rPr>
              <w:t>项，包括：</w:t>
            </w:r>
          </w:p>
          <w:p>
            <w:pPr>
              <w:adjustRightInd w:val="0"/>
              <w:spacing w:line="360" w:lineRule="auto"/>
              <w:jc w:val="left"/>
              <w:rPr>
                <w:rFonts w:hint="eastAsia" w:ascii="宋体" w:hAnsi="宋体" w:eastAsia="宋体" w:cs="Times New Roman"/>
                <w:u w:val="single"/>
                <w:lang w:val="en-US" w:eastAsia="zh-CN"/>
              </w:rPr>
            </w:pPr>
            <w:r>
              <w:rPr>
                <w:rFonts w:hint="eastAsia" w:ascii="宋体" w:hAnsi="宋体" w:eastAsia="宋体" w:cs="Times New Roman"/>
                <w:u w:val="single"/>
                <w:lang w:val="en-US" w:eastAsia="zh-CN"/>
              </w:rPr>
              <w:t>噪声、</w:t>
            </w:r>
            <w:r>
              <w:rPr>
                <w:rFonts w:hint="eastAsia" w:ascii="宋体" w:hAnsi="宋体" w:cs="Times New Roman"/>
                <w:u w:val="single"/>
                <w:lang w:val="en-US" w:eastAsia="zh-CN"/>
              </w:rPr>
              <w:t>（</w:t>
            </w:r>
            <w:r>
              <w:rPr>
                <w:rFonts w:hint="eastAsia" w:ascii="宋体" w:hAnsi="宋体" w:eastAsia="宋体" w:cs="Times New Roman"/>
                <w:u w:val="single"/>
                <w:lang w:val="en-US" w:eastAsia="zh-CN"/>
              </w:rPr>
              <w:t>聚氨酯漆、稀释剂等</w:t>
            </w:r>
            <w:r>
              <w:rPr>
                <w:rFonts w:hint="eastAsia" w:ascii="宋体" w:hAnsi="宋体" w:cs="Times New Roman"/>
                <w:u w:val="single"/>
                <w:lang w:val="en-US" w:eastAsia="zh-CN"/>
              </w:rPr>
              <w:t>）</w:t>
            </w:r>
            <w:r>
              <w:rPr>
                <w:rFonts w:hint="eastAsia" w:ascii="宋体" w:hAnsi="宋体" w:eastAsia="宋体" w:cs="Times New Roman"/>
                <w:u w:val="single"/>
                <w:lang w:val="en-US" w:eastAsia="zh-CN"/>
              </w:rPr>
              <w:t>有害因子、潜在火灾发生、</w:t>
            </w:r>
            <w:r>
              <w:rPr>
                <w:rFonts w:hint="eastAsia" w:ascii="宋体" w:hAnsi="宋体" w:cs="Times New Roman"/>
                <w:u w:val="single"/>
                <w:lang w:val="en-US" w:eastAsia="zh-CN"/>
              </w:rPr>
              <w:t>（</w:t>
            </w:r>
            <w:r>
              <w:rPr>
                <w:rFonts w:hint="eastAsia" w:ascii="宋体" w:hAnsi="宋体" w:eastAsia="宋体" w:cs="Times New Roman"/>
                <w:u w:val="single"/>
                <w:lang w:val="en-US" w:eastAsia="zh-CN"/>
              </w:rPr>
              <w:t>磕碰、砸、绞伤等</w:t>
            </w:r>
            <w:r>
              <w:rPr>
                <w:rFonts w:hint="eastAsia" w:ascii="宋体" w:hAnsi="宋体" w:cs="Times New Roman"/>
                <w:u w:val="single"/>
                <w:lang w:val="en-US" w:eastAsia="zh-CN"/>
              </w:rPr>
              <w:t>）</w:t>
            </w:r>
            <w:r>
              <w:rPr>
                <w:rFonts w:hint="eastAsia" w:ascii="宋体" w:hAnsi="宋体" w:eastAsia="宋体" w:cs="Times New Roman"/>
                <w:u w:val="single"/>
                <w:lang w:val="en-US" w:eastAsia="zh-CN"/>
              </w:rPr>
              <w:t>机械伤害、电气漏电伤人等</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Cs w:val="21"/>
              </w:rPr>
              <w:t>☑齐全</w:t>
            </w:r>
          </w:p>
          <w:p>
            <w:pPr>
              <w:adjustRightInd w:val="0"/>
              <w:spacing w:line="360" w:lineRule="auto"/>
              <w:jc w:val="left"/>
              <w:rPr>
                <w:rFonts w:ascii="宋体" w:hAnsi="宋体"/>
              </w:rPr>
            </w:pP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60" w:type="dxa"/>
            <w:vMerge w:val="restart"/>
          </w:tcPr>
          <w:p>
            <w:r>
              <w:rPr>
                <w:rFonts w:hint="eastAsia" w:ascii="宋体" w:hAnsi="宋体"/>
                <w:b/>
                <w:szCs w:val="21"/>
              </w:rPr>
              <w:t>相关法律法规及其它要求的遵守情况</w:t>
            </w:r>
          </w:p>
        </w:tc>
        <w:tc>
          <w:tcPr>
            <w:tcW w:w="960" w:type="dxa"/>
          </w:tcP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sym w:font="Wingdings 2" w:char="0052"/>
            </w:r>
            <w:r>
              <w:rPr>
                <w:rFonts w:hint="eastAsia" w:ascii="宋体" w:hAnsi="宋体"/>
                <w:color w:val="000000"/>
              </w:rPr>
              <w:t>排污许可证；</w:t>
            </w:r>
            <w:r>
              <w:rPr>
                <w:rFonts w:hint="eastAsia" w:ascii="宋体" w:hAnsi="宋体"/>
              </w:rPr>
              <w:sym w:font="Wingdings 2" w:char="0052"/>
            </w:r>
            <w:r>
              <w:rPr>
                <w:rFonts w:hint="eastAsia" w:ascii="宋体" w:hAnsi="宋体"/>
                <w:color w:val="000000"/>
              </w:rPr>
              <w:t>环评报告</w:t>
            </w:r>
            <w:r>
              <w:rPr>
                <w:rFonts w:hint="eastAsia" w:ascii="宋体" w:hAnsi="宋体"/>
                <w:color w:val="000000"/>
                <w:lang w:eastAsia="zh-CN"/>
              </w:rPr>
              <w:t>：</w:t>
            </w:r>
            <w:r>
              <w:rPr>
                <w:rFonts w:hint="eastAsia" w:ascii="宋体" w:hAnsi="宋体"/>
                <w:color w:val="000000"/>
                <w:lang w:val="en-US" w:eastAsia="zh-CN"/>
              </w:rPr>
              <w:t>环评报告批复和验收申请的单位为湖州市练市神龙电讯厂；排污许可证编号：913305036639305673001W;  又提供：浙江鼎强电气科技有限公司租用湖州市练市神龙电讯厂的租赁协议</w:t>
            </w:r>
            <w:r>
              <w:rPr>
                <w:rFonts w:hint="eastAsia" w:ascii="宋体" w:hAnsi="宋体"/>
                <w:color w:val="000000"/>
              </w:rPr>
              <w:t>；</w:t>
            </w:r>
            <w:r>
              <w:rPr>
                <w:rFonts w:hint="eastAsia" w:ascii="宋体" w:hAnsi="宋体"/>
                <w:color w:val="000000"/>
                <w:lang w:val="en-US" w:eastAsia="zh-CN"/>
              </w:rPr>
              <w:t xml:space="preserve">经核查，浙江鼎强电气科技有限公司的生产过程、生产线、生产量均与湖州市练市神龙电讯厂环评批复验收的信息一致；湖州市练市神龙电讯厂实际与浙江鼎强电气科技有限公司一套班子，两块牌子； 且湖州市练市神龙电讯厂公司无实际生产量；  </w:t>
            </w:r>
            <w:r>
              <w:rPr>
                <w:rFonts w:hint="eastAsia" w:ascii="宋体" w:hAnsi="宋体"/>
              </w:rPr>
              <w:sym w:font="Wingdings 2" w:char="00A3"/>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sym w:font="Wingdings 2" w:char="0052"/>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sym w:font="Wingdings 2" w:char="0052"/>
            </w:r>
            <w:r>
              <w:rPr>
                <w:rFonts w:hint="eastAsia" w:ascii="宋体" w:hAnsi="宋体"/>
              </w:rPr>
              <w:t>其他</w:t>
            </w:r>
            <w:r>
              <w:rPr>
                <w:rFonts w:ascii="宋体" w:hAnsi="宋体"/>
                <w:u w:val="single"/>
              </w:rPr>
              <w:t xml:space="preserve">   </w:t>
            </w:r>
            <w:r>
              <w:rPr>
                <w:rFonts w:hint="eastAsia" w:ascii="宋体" w:hAnsi="宋体"/>
                <w:u w:val="single"/>
                <w:lang w:val="en-US" w:eastAsia="zh-CN"/>
              </w:rPr>
              <w:t>第三方检测报告，产品：《180级2级漆膜直焊聚氨酯漆包铜圆线》； 报告编号：2011103119； 检测日期：2020-5-25</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rPr>
              <w:t>说明：</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Merge w:val="continue"/>
          </w:tcPr>
          <w:p/>
        </w:tc>
        <w:tc>
          <w:tcPr>
            <w:tcW w:w="960" w:type="dxa"/>
          </w:tcPr>
          <w:p/>
        </w:tc>
        <w:tc>
          <w:tcPr>
            <w:tcW w:w="10004" w:type="dxa"/>
          </w:tcPr>
          <w:p>
            <w:pPr>
              <w:snapToGrid w:val="0"/>
              <w:spacing w:line="280" w:lineRule="exact"/>
              <w:jc w:val="both"/>
              <w:rPr>
                <w:rFonts w:hint="eastAsia" w:ascii="宋体" w:hAnsi="宋体" w:eastAsia="宋体" w:cs="Times New Roman"/>
                <w:szCs w:val="21"/>
                <w:highlight w:val="none"/>
                <w:u w:val="single"/>
                <w:lang w:val="en-US" w:eastAsia="zh-CN"/>
              </w:rPr>
            </w:pPr>
            <w:r>
              <w:rPr>
                <w:rFonts w:ascii="宋体" w:hAnsi="宋体"/>
                <w:szCs w:val="21"/>
                <w:highlight w:val="none"/>
              </w:rPr>
              <w:t>2</w:t>
            </w:r>
            <w:r>
              <w:rPr>
                <w:rFonts w:hint="eastAsia" w:ascii="宋体" w:hAnsi="宋体"/>
                <w:szCs w:val="21"/>
                <w:highlight w:val="none"/>
              </w:rPr>
              <w:t>、组织识别了适用的法律、法规、标准和规范，主要包括：</w:t>
            </w:r>
            <w:r>
              <w:rPr>
                <w:rFonts w:ascii="宋体" w:hAnsi="宋体"/>
                <w:szCs w:val="21"/>
                <w:highlight w:val="none"/>
                <w:u w:val="single"/>
              </w:rPr>
              <w:t xml:space="preserve"> </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GB/T 6109-2008《漆包圆绕组》系列标准；</w:t>
            </w:r>
          </w:p>
          <w:p>
            <w:pPr>
              <w:snapToGrid w:val="0"/>
              <w:spacing w:line="280" w:lineRule="exact"/>
              <w:jc w:val="both"/>
              <w:rPr>
                <w:rFonts w:ascii="宋体" w:hAnsi="宋体"/>
                <w:szCs w:val="21"/>
                <w:highlight w:val="yellow"/>
              </w:rPr>
            </w:pPr>
            <w:r>
              <w:rPr>
                <w:rFonts w:hint="eastAsia" w:ascii="宋体" w:hAnsi="宋体" w:eastAsia="宋体" w:cs="Times New Roman"/>
                <w:szCs w:val="21"/>
                <w:highlight w:val="none"/>
                <w:u w:val="single"/>
                <w:lang w:val="en-US" w:eastAsia="zh-CN"/>
              </w:rPr>
              <w:t>法律法规：《中华人民共和国环境保护法》、GB16297-1996《大气污染物综合排放标准》、《中华人民共和国固体废物污染环境防治法》、《危险废物转移联单管理办法》、GB12348－2008《工业企业厂界噪声标准》；《中华人民共和国安全生产法》、《浙江省安全生产条例》；《浙江省劳动保护条例》、GBZ 158-2003《工作场所职业病危害警示标识》、GBZ 2.1-2019《工作场所有害因素职业接触限值第1部分：化学有害因素》、GBZ 2.2-2007《工作场所有害因素职业接触限值第2部分：物理因素》等；</w:t>
            </w:r>
            <w:r>
              <w:rPr>
                <w:rFonts w:ascii="宋体" w:hAnsi="宋体" w:eastAsia="宋体" w:cs="Times New Roman"/>
                <w:szCs w:val="21"/>
                <w:highlight w:val="none"/>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160" w:type="dxa"/>
            <w:vMerge w:val="continue"/>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Merge w:val="restart"/>
          </w:tcPr>
          <w:p>
            <w:r>
              <w:rPr>
                <w:rFonts w:hint="eastAsia" w:ascii="宋体" w:hAnsi="宋体"/>
                <w:b/>
                <w:szCs w:val="21"/>
              </w:rPr>
              <w:t>运行控制和关键绩效：</w:t>
            </w:r>
          </w:p>
        </w:tc>
        <w:tc>
          <w:tcPr>
            <w:tcW w:w="960" w:type="dxa"/>
          </w:tcPr>
          <w:p>
            <w:r>
              <w:rPr>
                <w:rFonts w:hint="eastAsia"/>
              </w:rPr>
              <w:t>8.1</w:t>
            </w: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宋体"/>
                <w:u w:val="single"/>
              </w:rPr>
              <w:t>主要依据顾客要求</w:t>
            </w:r>
            <w:r>
              <w:rPr>
                <w:rFonts w:hint="eastAsia" w:ascii="宋体" w:hAnsi="宋体"/>
                <w:u w:val="single"/>
                <w:lang w:val="en-US" w:eastAsia="zh-CN"/>
              </w:rPr>
              <w:t>并结合行业标准要求，相关的标准有：</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GB/T 6109-2008《漆包圆绕组》系列标准。</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val="en-US" w:eastAsia="zh-CN"/>
              </w:rPr>
              <w:t xml:space="preserve"> 提供了漆包圆线等第三方试验报告</w:t>
            </w:r>
            <w:r>
              <w:rPr>
                <w:rFonts w:hint="eastAsia" w:ascii="宋体" w:hAnsi="宋体"/>
                <w:szCs w:val="22"/>
                <w:lang w:val="en-US" w:eastAsia="zh-CN"/>
              </w:rPr>
              <w:t xml:space="preserve">，客户使用验收确认报告 </w:t>
            </w:r>
            <w:r>
              <w:rPr>
                <w:rFonts w:hint="eastAsia" w:ascii="宋体" w:hAnsi="宋体"/>
              </w:rPr>
              <w:t xml:space="preserve"> □</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ascii="宋体" w:hAnsi="宋体"/>
                <w:szCs w:val="21"/>
              </w:rPr>
            </w:pPr>
            <w:r>
              <w:rPr>
                <w:rFonts w:hint="eastAsia" w:ascii="宋体" w:hAnsi="宋体"/>
                <w:b/>
                <w:szCs w:val="21"/>
              </w:rPr>
              <w:t xml:space="preserve">       能满足顾客的要求，顾客反应良好，质量较好。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2160" w:type="dxa"/>
            <w:vMerge w:val="continue"/>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hint="eastAsia" w:ascii="宋体" w:hAnsi="宋体" w:eastAsia="宋体" w:cs="Times New Roman"/>
                <w:szCs w:val="22"/>
                <w:u w:val="single"/>
                <w:lang w:val="en-US" w:eastAsia="zh-CN"/>
              </w:rPr>
              <w:t>噪声、固</w:t>
            </w:r>
            <w:r>
              <w:rPr>
                <w:rFonts w:hint="eastAsia" w:ascii="宋体" w:hAnsi="宋体"/>
                <w:szCs w:val="22"/>
                <w:u w:val="single"/>
              </w:rPr>
              <w:t>废、</w:t>
            </w:r>
            <w:r>
              <w:rPr>
                <w:rFonts w:hint="eastAsia" w:ascii="宋体" w:hAnsi="宋体"/>
                <w:szCs w:val="22"/>
                <w:u w:val="single"/>
                <w:lang w:val="en-US" w:eastAsia="zh-CN"/>
              </w:rPr>
              <w:t>废气</w:t>
            </w:r>
            <w:r>
              <w:rPr>
                <w:rFonts w:hint="eastAsia" w:ascii="宋体" w:hAnsi="宋体"/>
                <w:szCs w:val="22"/>
                <w:u w:val="single"/>
              </w:rPr>
              <w:t>等。</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ascii="宋体" w:hAnsi="宋体"/>
                <w:szCs w:val="21"/>
                <w:highlight w:val="yellow"/>
              </w:rPr>
            </w:pPr>
            <w:r>
              <w:rPr>
                <w:rFonts w:hint="eastAsia" w:ascii="宋体" w:hAnsi="宋体"/>
              </w:rPr>
              <w:t>--存在问题：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Merge w:val="continue"/>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ind w:firstLine="210" w:firstLineChars="100"/>
              <w:jc w:val="left"/>
              <w:rPr>
                <w:rFonts w:ascii="宋体" w:hAnsi="宋体"/>
                <w:szCs w:val="21"/>
              </w:rPr>
            </w:pPr>
            <w:r>
              <w:rPr>
                <w:rFonts w:hint="eastAsia" w:ascii="宋体" w:hAnsi="宋体"/>
                <w:u w:val="single"/>
                <w:lang w:val="en-US" w:eastAsia="zh-CN"/>
              </w:rPr>
              <w:t>机械伤害、 废气、噪声、</w:t>
            </w:r>
            <w:r>
              <w:rPr>
                <w:rFonts w:hint="eastAsia" w:ascii="宋体" w:hAnsi="宋体"/>
                <w:u w:val="single"/>
              </w:rPr>
              <w:t>火灾、触电、人员伤亡</w:t>
            </w:r>
            <w:r>
              <w:rPr>
                <w:rFonts w:ascii="宋体"/>
                <w:szCs w:val="21"/>
                <w:u w:val="single"/>
              </w:rPr>
              <w:t xml:space="preserve">                  </w:t>
            </w:r>
          </w:p>
          <w:p>
            <w:pPr>
              <w:adjustRightInd w:val="0"/>
              <w:spacing w:line="360" w:lineRule="auto"/>
              <w:jc w:val="left"/>
              <w:rPr>
                <w:rFonts w:ascii="宋体" w:hAnsi="宋体"/>
                <w:szCs w:val="21"/>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良好。</w:t>
            </w:r>
            <w:r>
              <w:rPr>
                <w:rFonts w:ascii="宋体" w:hAnsi="宋体"/>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szCs w:val="21"/>
              </w:rPr>
              <w:t>管理体系的方针、目标/指标/措施方案及实现情况</w:t>
            </w:r>
          </w:p>
        </w:tc>
        <w:tc>
          <w:tcPr>
            <w:tcW w:w="960" w:type="dxa"/>
          </w:tcPr>
          <w:p>
            <w:r>
              <w:rPr>
                <w:rFonts w:hint="eastAsia"/>
              </w:rPr>
              <w:t>5.2/6.1/6.2</w:t>
            </w:r>
          </w:p>
        </w:tc>
        <w:tc>
          <w:tcPr>
            <w:tcW w:w="10004" w:type="dxa"/>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组织内部审核策划和实施情况</w:t>
            </w:r>
          </w:p>
        </w:tc>
        <w:tc>
          <w:tcPr>
            <w:tcW w:w="960" w:type="dxa"/>
          </w:tcPr>
          <w:p>
            <w:r>
              <w:rPr>
                <w:rFonts w:hint="eastAsia"/>
              </w:rPr>
              <w:t>9.2</w:t>
            </w:r>
          </w:p>
        </w:tc>
        <w:tc>
          <w:tcPr>
            <w:tcW w:w="10004" w:type="dxa"/>
          </w:tcPr>
          <w:p>
            <w:pPr>
              <w:pStyle w:val="13"/>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21</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4</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8</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u w:val="single"/>
              </w:rPr>
              <w:t>　　公司的管理体系符合标准要求，体系运行有效。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tcPr>
          <w:p>
            <w:r>
              <w:rPr>
                <w:rFonts w:hint="eastAsia" w:ascii="宋体" w:hAnsi="宋体"/>
                <w:b/>
                <w:bCs/>
                <w:szCs w:val="21"/>
              </w:rPr>
              <w:t>组织进行管理评审的情况</w:t>
            </w:r>
          </w:p>
        </w:tc>
        <w:tc>
          <w:tcPr>
            <w:tcW w:w="960" w:type="dxa"/>
          </w:tcPr>
          <w:p>
            <w:r>
              <w:rPr>
                <w:rFonts w:hint="eastAsia"/>
              </w:rPr>
              <w:t>9.3</w:t>
            </w:r>
          </w:p>
        </w:tc>
        <w:tc>
          <w:tcPr>
            <w:tcW w:w="10004" w:type="dxa"/>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21</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4</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15</w:t>
            </w:r>
            <w:r>
              <w:rPr>
                <w:rFonts w:hint="eastAsia" w:ascii="宋体" w:hAnsi="宋体"/>
                <w:u w:val="single"/>
              </w:rPr>
              <w:t>　</w:t>
            </w:r>
            <w:r>
              <w:rPr>
                <w:rFonts w:hint="eastAsia" w:ascii="宋体" w:hAnsi="宋体"/>
              </w:rPr>
              <w:t>日实施，由最高管理者：</w:t>
            </w:r>
            <w:r>
              <w:rPr>
                <w:rFonts w:hint="eastAsia" w:ascii="宋体" w:hAnsi="宋体"/>
                <w:lang w:val="en-US" w:eastAsia="zh-CN"/>
              </w:rPr>
              <w:t xml:space="preserve">陈辉 </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3"/>
              <w:spacing w:after="0" w:line="360" w:lineRule="auto"/>
              <w:ind w:left="0" w:leftChars="0"/>
              <w:rPr>
                <w:rFonts w:ascii="宋体" w:hAnsi="宋体"/>
                <w:szCs w:val="21"/>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质量环境</w:t>
            </w:r>
            <w:r>
              <w:rPr>
                <w:rFonts w:ascii="宋体" w:hAnsi="宋体"/>
                <w:u w:val="single"/>
              </w:rPr>
              <w:t>职业健康</w:t>
            </w:r>
            <w:r>
              <w:rPr>
                <w:rFonts w:hint="eastAsia" w:ascii="宋体" w:hAnsi="宋体"/>
                <w:u w:val="single"/>
              </w:rPr>
              <w:t>安全管理体系运行是有效的，资源提供是充分的，方针目标是适宜的。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60" w:type="dxa"/>
          </w:tcPr>
          <w:p>
            <w:pPr>
              <w:rPr>
                <w:rFonts w:hint="default" w:ascii="宋体" w:hAnsi="宋体" w:eastAsia="宋体"/>
                <w:b/>
                <w:bCs/>
                <w:szCs w:val="21"/>
                <w:lang w:val="en-US" w:eastAsia="zh-CN"/>
              </w:rPr>
            </w:pPr>
            <w:r>
              <w:rPr>
                <w:rFonts w:hint="eastAsia" w:ascii="宋体" w:hAnsi="宋体"/>
                <w:b/>
                <w:bCs/>
                <w:szCs w:val="21"/>
                <w:lang w:val="en-US" w:eastAsia="zh-CN"/>
              </w:rPr>
              <w:t>办公现场巡视</w:t>
            </w:r>
          </w:p>
        </w:tc>
        <w:tc>
          <w:tcPr>
            <w:tcW w:w="960" w:type="dxa"/>
          </w:tcPr>
          <w:p>
            <w:pPr>
              <w:rPr>
                <w:rFonts w:hint="eastAsia"/>
              </w:rPr>
            </w:pPr>
          </w:p>
        </w:tc>
        <w:tc>
          <w:tcPr>
            <w:tcW w:w="10004" w:type="dxa"/>
          </w:tcPr>
          <w:p>
            <w:pPr>
              <w:pStyle w:val="3"/>
              <w:spacing w:after="0" w:line="360" w:lineRule="auto"/>
              <w:ind w:left="0" w:leftChars="0"/>
              <w:rPr>
                <w:rFonts w:hint="default" w:ascii="宋体" w:hAnsi="宋体" w:eastAsia="宋体"/>
                <w:lang w:val="en-US" w:eastAsia="zh-CN"/>
              </w:rPr>
            </w:pPr>
            <w:r>
              <w:rPr>
                <w:rFonts w:hint="eastAsia" w:ascii="宋体" w:hAnsi="宋体"/>
                <w:lang w:val="en-US" w:eastAsia="zh-CN"/>
              </w:rPr>
              <w:t>各部门办公环境较好；通道设置消防栓；办公楼有客梯及人行通道；</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hint="default" w:ascii="宋体" w:hAnsi="宋体"/>
                <w:b/>
                <w:bCs/>
                <w:szCs w:val="21"/>
                <w:lang w:val="en-US" w:eastAsia="zh-CN"/>
              </w:rPr>
            </w:pPr>
            <w:r>
              <w:rPr>
                <w:rFonts w:hint="eastAsia" w:ascii="宋体" w:hAnsi="宋体"/>
                <w:b/>
                <w:bCs/>
                <w:szCs w:val="21"/>
                <w:lang w:val="en-US" w:eastAsia="zh-CN"/>
              </w:rPr>
              <w:t>财务</w:t>
            </w:r>
          </w:p>
        </w:tc>
        <w:tc>
          <w:tcPr>
            <w:tcW w:w="960" w:type="dxa"/>
          </w:tcPr>
          <w:p>
            <w:pPr>
              <w:rPr>
                <w:rFonts w:hint="eastAsia"/>
              </w:rPr>
            </w:pPr>
          </w:p>
        </w:tc>
        <w:tc>
          <w:tcPr>
            <w:tcW w:w="10004" w:type="dxa"/>
          </w:tcPr>
          <w:p>
            <w:pPr>
              <w:pStyle w:val="3"/>
              <w:spacing w:after="0" w:line="360" w:lineRule="auto"/>
              <w:ind w:left="0" w:leftChars="0"/>
              <w:rPr>
                <w:rFonts w:hint="default" w:ascii="宋体" w:hAnsi="宋体"/>
                <w:lang w:val="en-US" w:eastAsia="zh-CN"/>
              </w:rPr>
            </w:pPr>
            <w:r>
              <w:rPr>
                <w:rFonts w:hint="eastAsia" w:ascii="宋体" w:hAnsi="宋体"/>
                <w:lang w:val="en-US" w:eastAsia="zh-CN"/>
              </w:rPr>
              <w:t>公司用于环境和职业健康安全年投入约8万元。</w:t>
            </w:r>
          </w:p>
        </w:tc>
        <w:tc>
          <w:tcPr>
            <w:tcW w:w="1585" w:type="dxa"/>
          </w:tcP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29D9"/>
    <w:rsid w:val="00077F03"/>
    <w:rsid w:val="00113BEC"/>
    <w:rsid w:val="001F3F0A"/>
    <w:rsid w:val="00354FF0"/>
    <w:rsid w:val="003A50E6"/>
    <w:rsid w:val="00A429D9"/>
    <w:rsid w:val="00B27209"/>
    <w:rsid w:val="00B35626"/>
    <w:rsid w:val="00FE7DAC"/>
    <w:rsid w:val="0F69290C"/>
    <w:rsid w:val="11065918"/>
    <w:rsid w:val="12DB08C7"/>
    <w:rsid w:val="1450286F"/>
    <w:rsid w:val="16595F6D"/>
    <w:rsid w:val="18AC451E"/>
    <w:rsid w:val="236B1179"/>
    <w:rsid w:val="26CB3619"/>
    <w:rsid w:val="26F0784D"/>
    <w:rsid w:val="27E135D9"/>
    <w:rsid w:val="2CF604A4"/>
    <w:rsid w:val="308B38E8"/>
    <w:rsid w:val="36EE6CB3"/>
    <w:rsid w:val="39A57BBB"/>
    <w:rsid w:val="3B1662D8"/>
    <w:rsid w:val="3B6139F3"/>
    <w:rsid w:val="3E2B71F0"/>
    <w:rsid w:val="3F857D2F"/>
    <w:rsid w:val="42631BB8"/>
    <w:rsid w:val="466974DE"/>
    <w:rsid w:val="4C972400"/>
    <w:rsid w:val="4DF10E39"/>
    <w:rsid w:val="4E24228E"/>
    <w:rsid w:val="4F924F26"/>
    <w:rsid w:val="51467314"/>
    <w:rsid w:val="54140A22"/>
    <w:rsid w:val="54CA652E"/>
    <w:rsid w:val="58693C2C"/>
    <w:rsid w:val="599D0BA2"/>
    <w:rsid w:val="5B092463"/>
    <w:rsid w:val="5B8E1F48"/>
    <w:rsid w:val="61B77D76"/>
    <w:rsid w:val="65BA2525"/>
    <w:rsid w:val="677A2FC1"/>
    <w:rsid w:val="69D16164"/>
    <w:rsid w:val="6E56154F"/>
    <w:rsid w:val="726D3411"/>
    <w:rsid w:val="72FC22E8"/>
    <w:rsid w:val="73AD6600"/>
    <w:rsid w:val="76C63618"/>
    <w:rsid w:val="775843B3"/>
    <w:rsid w:val="7F2A38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center"/>
      <w:outlineLvl w:val="0"/>
    </w:pPr>
    <w:rPr>
      <w:color w:val="FFFF00"/>
      <w:kern w:val="0"/>
      <w:sz w:val="44"/>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99"/>
    <w:pPr>
      <w:ind w:firstLine="420" w:firstLineChars="200"/>
    </w:pPr>
    <w:rPr>
      <w:rFonts w:ascii="Calibri" w:hAnsi="Calibri"/>
      <w:szCs w:val="22"/>
    </w:rPr>
  </w:style>
  <w:style w:type="character" w:customStyle="1" w:styleId="14">
    <w:name w:val="正文文本缩进 字符"/>
    <w:basedOn w:val="8"/>
    <w:link w:val="3"/>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592</Words>
  <Characters>3380</Characters>
  <Lines>28</Lines>
  <Paragraphs>7</Paragraphs>
  <TotalTime>2</TotalTime>
  <ScaleCrop>false</ScaleCrop>
  <LinksUpToDate>false</LinksUpToDate>
  <CharactersWithSpaces>3965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2021-06-25T03:26:06Z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BCF47C822409406FB156DC96799E379D</vt:lpwstr>
  </property>
</Properties>
</file>