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研创光电科技(赣州)有限公司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</w:t>
            </w:r>
            <w:r>
              <w:rPr>
                <w:rFonts w:hint="eastAsia"/>
                <w:b/>
                <w:sz w:val="20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</w:t>
            </w:r>
            <w:r>
              <w:rPr>
                <w:rFonts w:hint="eastAsia"/>
                <w:b/>
                <w:sz w:val="20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冲孔</w:t>
            </w:r>
            <w:r>
              <w:rPr>
                <w:rFonts w:hint="eastAsia"/>
                <w:b/>
              </w:rPr>
              <w:t>→填孔→印刷→叠层→水压→脱脂烧结→后印→后烧→激光切割→成品检验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重大环境因素：火灾，噪音排放，固废排放、能源消耗；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0"/>
              </w:rPr>
              <w:t>电子陶瓷零件技术条件（GB9531.1-1988）、滤波器用压电陶瓷材料通用技术条件GB/T15155-1994、电子陶瓷用氧化铝粉体材料GB/T15154-1994、厚膜集成电路用氧化铝陶瓷基片GB/T4619-2013、厚膜陶瓷基板生产工厂设计标准GB51333-2018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检验外观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规格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Lines="50" w:line="320" w:lineRule="exact"/>
        <w:rPr>
          <w:b/>
          <w:sz w:val="22"/>
          <w:szCs w:val="22"/>
        </w:rPr>
      </w:pPr>
      <w:r>
        <w:rPr>
          <w:rFonts w:hint="eastAsia" w:ascii="宋体" w:hAnsi="宋体" w:eastAsia="宋体"/>
          <w:b/>
          <w:kern w:val="0"/>
          <w:sz w:val="20"/>
          <w:szCs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264160</wp:posOffset>
            </wp:positionV>
            <wp:extent cx="798195" cy="379095"/>
            <wp:effectExtent l="0" t="0" r="1905" b="1905"/>
            <wp:wrapNone/>
            <wp:docPr id="2" name="图片 2" descr="35b3aafdf404ed4d0ef2157cff4e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b3aafdf404ed4d0ef2157cff4e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去   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4A"/>
    <w:rsid w:val="00266177"/>
    <w:rsid w:val="006B534A"/>
    <w:rsid w:val="00846A34"/>
    <w:rsid w:val="00B06854"/>
    <w:rsid w:val="00C73E85"/>
    <w:rsid w:val="00E808C5"/>
    <w:rsid w:val="22595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2021-07-08T01:13:34Z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58944616B21B40ADA2FC8EBF590D435B</vt:lpwstr>
  </property>
</Properties>
</file>