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北京嘉洁能科技股份有限公司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2019-0105-2021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2019-0105-2021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719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北京嘉洁能科技股份有限公司</w:t>
            </w:r>
            <w:bookmarkEnd w:id="4"/>
          </w:p>
        </w:tc>
        <w:tc>
          <w:tcPr>
            <w:tcW w:w="17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53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尚凌雪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ISC-2019-0453</w:t>
            </w:r>
            <w:bookmarkEnd w:id="6"/>
          </w:p>
        </w:tc>
        <w:tc>
          <w:tcPr>
            <w:tcW w:w="17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53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2024-07-15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次</w:t>
            </w:r>
          </w:p>
        </w:tc>
        <w:tc>
          <w:tcPr>
            <w:tcW w:w="17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3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2021年06月30日 下午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至2021年7月1日12时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numPr>
                <w:ilvl w:val="0"/>
                <w:numId w:val="1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M1MMS-1274460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耿丽修</w:t>
            </w:r>
            <w:r>
              <w:rPr>
                <w:rFonts w:hint="eastAsia" w:ascii="宋体" w:hAnsi="宋体"/>
                <w:color w:val="000000"/>
                <w:szCs w:val="21"/>
              </w:rPr>
              <w:t>ISC[S]0029</w:t>
            </w:r>
          </w:p>
        </w:tc>
        <w:tc>
          <w:tcPr>
            <w:tcW w:w="17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3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/>
                <w:color w:val="auto"/>
              </w:rPr>
              <w:t>管理者代表、品管部</w:t>
            </w:r>
            <w:r>
              <w:rPr>
                <w:rFonts w:hint="eastAsia" w:ascii="宋体"/>
                <w:color w:val="auto"/>
                <w:lang w:eastAsia="zh-CN"/>
              </w:rPr>
              <w:t>、</w:t>
            </w:r>
            <w:r>
              <w:rPr>
                <w:rFonts w:hint="eastAsia" w:ascii="宋体"/>
                <w:color w:val="auto"/>
              </w:rPr>
              <w:t>综合办</w:t>
            </w:r>
            <w:r>
              <w:rPr>
                <w:rFonts w:hint="eastAsia" w:ascii="宋体"/>
                <w:color w:val="auto"/>
                <w:lang w:eastAsia="zh-CN"/>
              </w:rPr>
              <w:t>、</w:t>
            </w:r>
            <w:r>
              <w:rPr>
                <w:rFonts w:hint="eastAsia" w:ascii="宋体"/>
                <w:color w:val="auto"/>
              </w:rPr>
              <w:t>采购部、市场部</w:t>
            </w:r>
            <w:r>
              <w:rPr>
                <w:rFonts w:ascii="宋体"/>
                <w:color w:val="auto"/>
              </w:rPr>
              <w:t>、</w:t>
            </w:r>
            <w:r>
              <w:rPr>
                <w:rFonts w:hint="eastAsia" w:ascii="宋体"/>
                <w:color w:val="auto"/>
              </w:rPr>
              <w:t>技术部、生产部(</w:t>
            </w:r>
            <w:r>
              <w:rPr>
                <w:rFonts w:ascii="宋体"/>
                <w:color w:val="auto"/>
              </w:rPr>
              <w:t>生产车间)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  <w:t>公司一年来重点做了以下工作：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1.1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企业一年来测量管理体系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运行情况良好。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企业的产品质量、测量设备和测量过程持续满足顾客的测量要求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1.2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1"/>
          <w:szCs w:val="21"/>
          <w:lang w:val="en-US" w:eastAsia="zh-CN"/>
        </w:rPr>
        <w:t>2020年，虽然受疫情影响，企业销售总收入仍保持在10029.70万元水平。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截止审核期间，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企业在产品质量、物料交接、能源、安全、现场管理等方面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有顾客投诉、纠纷、处理等状况。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内部审核和管理评审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2.1内审情况：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公司20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组织了公司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测量管理体系单体系内审，内审组织井井有条、内审通知、内审计划、内审检查表、内审报告、不符合项整改记录规范，内审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会议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由管理者代表田琦辉主持，总经理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张能杰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参加。对公司6个有关部门及生产车间，进行了全要素的审核。本次内部审核发现一个不符合项。品管部组织制定了预防纠正措施，进行整改工作。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不符合项已关闭。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2.2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管理评审情况：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北京嘉洁能科技股份有限公司，202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年6月2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日，组织了公司测量管理体系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管理评审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管理者代表田琦辉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汇报工作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，总经理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张能杰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主持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>会议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一致认为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公司建立的测量管理体系质量方针目标策划到位，编制的测量管理体系文件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符合标准要求且有效运行，测量设备处于良好的工作状态。测量过程有效测量结果准确、可靠，达到了保证和提高公司产品质量、提高公司生产、经营效率、安全环保监测管理水平的目的，并降低了能源消耗和物料消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今后，企业要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在现有的基础上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加强测量过程控制项目的核查，加强对管理人员和技术操作人员的培训指导，确实发挥测量体系保证产品质量的关键作用。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会议形成了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管理评审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3.为持续改进而策划的活动的进展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企业对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识别的关键测量过程进行了持续的控制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企业本年度无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新增关键测量过程：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a)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计量要求的导出和验证：查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超声波热量表密封性试验测量过程》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，计量要求导出方法正确，验证满足测量过程要求。祥见附件《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超声波热量表密封性试验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计量要求导出及验证记录表》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b)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测量不确定评定：查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《超声波热量表密封性试验》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测量过程，测量不确定度评定正确。祥见附件《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超声波热量表密封性试验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测量不确定度评定》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c)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有效性确认：查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《超声波热量表密封性试验》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测量过程，采用计量比对进行有效性确认，满足要求。祥见附件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《超声波热量表密封性试验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测量过程有效性确认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记录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d)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测量过程的控制：查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超声波热量表密封性试验测量过程》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，编制了控制规范，对测量人员、测量设备、测量环境进行控制，满足要求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e)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测量过程的监视：查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超声波热量表密封性试验测量过程》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采用统计技术进行控制和监视测量过程。祥见《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超声波热量表密封性试验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监视记录》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f)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测量设备的溯源：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企业未建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最高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计量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企业测量设备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送“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北京市计量检测科学研究院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检定/校准。计量机构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注册号CNAS L 0187。授权资质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和范围符合企业需求。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抽查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台测量设备检定/校准证书，溯源满足要求。祥见《测量设备溯源检查表》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4.能源管理情况：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企业能源主要消耗品种为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电。2020年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耗205457.75千瓦时，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消耗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折合标煤25.25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标煤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是重点用能单位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企业能源测量设备配备率满足要求。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进出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厂贸易结算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用能单位应配备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台件，实际配备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台件，配备率满足要求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；现场抽查测量设备配备率满足要求，经过检定/校准，测量设备检定和精度等级满足要求。公司大部分能源计量数据实现了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现场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和实时数据采集，经现场抽查设备完好率为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%。经过审核确认，能源报表数据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原始记录同步，对重要的能源数据能定期进行监视核查，能源计量管理满足GB17167要求。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上一年监督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审核时提出的的不符合项的纠正措施情况有表述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公司对20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监督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审核中发现的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个不符合项，企业制定了预防纠正措施，进行了及时整改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经审核组现场审核验证，不符合项纠正措施已完成，所采取的纠正措施及时、正确并持续有效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个不符合项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关闭。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经现场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验证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不符合项纠正措施有效，同意关闭。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投诉的处理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企业2020年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有顾客的投诉。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测量管理体系在实现获证客户目标方面的有效性及持续的运作控制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公司制定了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项质量目标，对目标进行了分解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抽查“202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年公司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个季度计量工作质量目标完成统计表”，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按目标、措施、完成情况、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完成情况进行统计，记录内容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完成情况达到质量目标要求。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企业营业执照和组织机构未发生变化。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标志的使用和（或）任何其他对认证资格引用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公司对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标志的使用，符合相关标准和规定。公司测量管理体系认证证书用于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1）、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开发国内和海外市场企业形象广告宣传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2）、用于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企业产品招投标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加分。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10、本年度监督审核，没有提出不符合项。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三、监督审核结论意见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含需要说明的事项):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通过20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6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30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日-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7月1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日，对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北京嘉洁能科技股份有限公司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监督审核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.验证了公司在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一年内，测量管理体系运作情况，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公司领导重视体系运行和管理，体系文件得到有效实施，企业管理规范，过程受控、监视方法正确有效，重要测量人员能力受控，测量设备、测量环境、测量软件、测量记录及外部供方管理等各项工作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上了一个新的台阶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。综上所述，审核组认为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北京嘉洁能科技股份有限公司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hint="eastAsia" w:asciiTheme="minorEastAsia" w:hAnsiTheme="minorEastAsia" w:eastAsiaTheme="minorEastAsia" w:cstheme="minorEastAsia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1257300" cy="638175"/>
            <wp:effectExtent l="0" t="0" r="0" b="952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2021、7、1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kern w:val="0"/>
          <w:szCs w:val="21"/>
        </w:rPr>
      </w:pPr>
      <w:bookmarkStart w:id="11" w:name="_GoBack"/>
      <w:bookmarkEnd w:id="11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0B7E5D"/>
    <w:multiLevelType w:val="singleLevel"/>
    <w:tmpl w:val="3E0B7E5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0D86C3"/>
    <w:multiLevelType w:val="singleLevel"/>
    <w:tmpl w:val="4D0D86C3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B14B44"/>
    <w:rsid w:val="360D62EA"/>
    <w:rsid w:val="3AC45522"/>
    <w:rsid w:val="42263720"/>
    <w:rsid w:val="4C9E2F1A"/>
    <w:rsid w:val="5739261C"/>
    <w:rsid w:val="57EF7802"/>
    <w:rsid w:val="65524EC3"/>
    <w:rsid w:val="6C174CE6"/>
    <w:rsid w:val="757A51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5</TotalTime>
  <ScaleCrop>false</ScaleCrop>
  <LinksUpToDate>false</LinksUpToDate>
  <CharactersWithSpaces>2163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lenovo</cp:lastModifiedBy>
  <cp:lastPrinted>2017-09-01T06:24:00Z</cp:lastPrinted>
  <dcterms:modified xsi:type="dcterms:W3CDTF">2021-07-02T08:21:19Z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08654E09855A4423AA1D38321F12D531</vt:lpwstr>
  </property>
</Properties>
</file>