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jc w:val="center"/>
        <w:rPr>
          <w:rFonts w:ascii="楷体" w:hAnsi="楷体" w:eastAsia="楷体"/>
          <w:b/>
          <w:color w:val="000000" w:themeColor="text1"/>
          <w:sz w:val="84"/>
          <w:szCs w:val="84"/>
        </w:rPr>
      </w:pPr>
    </w:p>
    <w:p>
      <w:pPr>
        <w:snapToGrid w:val="0"/>
        <w:spacing w:after="93"/>
        <w:jc w:val="center"/>
        <w:rPr>
          <w:rFonts w:ascii="楷体" w:hAnsi="楷体" w:eastAsia="楷体"/>
          <w:b/>
          <w:color w:val="000000" w:themeColor="text1"/>
          <w:sz w:val="84"/>
          <w:szCs w:val="84"/>
        </w:rPr>
      </w:pPr>
      <w:r>
        <w:drawing>
          <wp:inline distT="0" distB="0" distL="0" distR="0">
            <wp:extent cx="1887220" cy="1887220"/>
            <wp:effectExtent l="0" t="0" r="0" b="0"/>
            <wp:docPr id="1"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副本.jpg"/>
                    <pic:cNvPicPr>
                      <a:picLocks noChangeAspect="1" noChangeArrowheads="1"/>
                    </pic:cNvPicPr>
                  </pic:nvPicPr>
                  <pic:blipFill>
                    <a:blip r:embed="rId5"/>
                    <a:stretch>
                      <a:fillRect/>
                    </a:stretch>
                  </pic:blipFill>
                  <pic:spPr>
                    <a:xfrm>
                      <a:off x="0" y="0"/>
                      <a:ext cx="1887220" cy="1887220"/>
                    </a:xfrm>
                    <a:prstGeom prst="rect">
                      <a:avLst/>
                    </a:prstGeom>
                  </pic:spPr>
                </pic:pic>
              </a:graphicData>
            </a:graphic>
          </wp:inline>
        </w:drawing>
      </w:r>
    </w:p>
    <w:p>
      <w:pPr>
        <w:snapToGrid w:val="0"/>
        <w:spacing w:after="93"/>
        <w:jc w:val="center"/>
        <w:rPr>
          <w:rFonts w:ascii="楷体" w:hAnsi="楷体" w:eastAsia="楷体"/>
          <w:b/>
          <w:color w:val="000000" w:themeColor="text1"/>
          <w:sz w:val="52"/>
          <w:szCs w:val="52"/>
        </w:rPr>
      </w:pPr>
    </w:p>
    <w:p>
      <w:pPr>
        <w:snapToGrid w:val="0"/>
        <w:spacing w:after="93"/>
        <w:jc w:val="center"/>
        <w:rPr>
          <w:rFonts w:ascii="楷体" w:hAnsi="楷体" w:eastAsia="楷体"/>
          <w:b/>
          <w:color w:val="000000" w:themeColor="text1"/>
          <w:sz w:val="52"/>
          <w:szCs w:val="52"/>
        </w:rPr>
      </w:pPr>
    </w:p>
    <w:p>
      <w:pPr>
        <w:snapToGrid w:val="0"/>
        <w:spacing w:after="93"/>
        <w:jc w:val="center"/>
        <w:rPr>
          <w:rFonts w:ascii="楷体" w:hAnsi="楷体" w:eastAsia="楷体"/>
          <w:b/>
          <w:color w:val="000000" w:themeColor="text1"/>
          <w:sz w:val="52"/>
          <w:szCs w:val="52"/>
        </w:rPr>
      </w:pPr>
      <w:r>
        <w:rPr>
          <w:rFonts w:ascii="楷体" w:hAnsi="楷体" w:eastAsia="楷体"/>
          <w:b/>
          <w:color w:val="000000" w:themeColor="text1"/>
          <w:sz w:val="52"/>
          <w:szCs w:val="52"/>
        </w:rPr>
        <w:t>管理体系审核报告</w:t>
      </w:r>
    </w:p>
    <w:p>
      <w:pPr>
        <w:snapToGrid w:val="0"/>
        <w:spacing w:after="93"/>
        <w:jc w:val="center"/>
        <w:rPr>
          <w:rFonts w:ascii="楷体" w:hAnsi="楷体" w:eastAsia="楷体"/>
          <w:b/>
          <w:color w:val="000000" w:themeColor="text1"/>
          <w:sz w:val="36"/>
          <w:szCs w:val="36"/>
        </w:rPr>
      </w:pPr>
    </w:p>
    <w:p>
      <w:pPr>
        <w:snapToGrid w:val="0"/>
        <w:spacing w:after="93"/>
        <w:jc w:val="center"/>
        <w:rPr>
          <w:rFonts w:ascii="楷体" w:hAnsi="楷体" w:eastAsia="楷体"/>
          <w:b/>
          <w:color w:val="000000" w:themeColor="text1"/>
          <w:sz w:val="36"/>
          <w:szCs w:val="36"/>
        </w:rPr>
      </w:pPr>
    </w:p>
    <w:p>
      <w:pPr>
        <w:snapToGrid w:val="0"/>
        <w:spacing w:after="93"/>
        <w:jc w:val="center"/>
        <w:rPr>
          <w:rFonts w:ascii="楷体" w:hAnsi="楷体" w:eastAsia="楷体"/>
          <w:b/>
          <w:color w:val="000000" w:themeColor="text1"/>
          <w:sz w:val="32"/>
          <w:szCs w:val="32"/>
        </w:rPr>
      </w:pPr>
    </w:p>
    <w:p>
      <w:pPr>
        <w:snapToGrid w:val="0"/>
        <w:spacing w:after="93"/>
        <w:ind w:firstLine="321"/>
        <w:rPr>
          <w:rFonts w:ascii="楷体" w:hAnsi="楷体" w:eastAsia="楷体"/>
          <w:b/>
          <w:color w:val="000000" w:themeColor="text1"/>
          <w:sz w:val="32"/>
          <w:szCs w:val="32"/>
        </w:rPr>
      </w:pPr>
      <w:r>
        <w:rPr>
          <w:rFonts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青岛茳森工程有限公司</w:t>
      </w:r>
      <w:bookmarkEnd w:id="0"/>
    </w:p>
    <w:p>
      <w:pPr>
        <w:snapToGrid w:val="0"/>
        <w:spacing w:after="93"/>
        <w:ind w:firstLine="1928"/>
        <w:rPr>
          <w:rFonts w:ascii="楷体" w:hAnsi="楷体" w:eastAsia="楷体"/>
          <w:b/>
          <w:color w:val="000000" w:themeColor="text1"/>
          <w:sz w:val="32"/>
          <w:szCs w:val="32"/>
        </w:rPr>
      </w:pPr>
    </w:p>
    <w:p>
      <w:pPr>
        <w:snapToGrid w:val="0"/>
        <w:spacing w:after="93"/>
        <w:ind w:firstLine="321"/>
        <w:rPr>
          <w:rFonts w:ascii="楷体" w:hAnsi="楷体" w:eastAsia="楷体"/>
          <w:b/>
          <w:color w:val="000000" w:themeColor="text1"/>
          <w:sz w:val="32"/>
          <w:szCs w:val="32"/>
        </w:rPr>
      </w:pPr>
      <w:r>
        <w:rPr>
          <w:rFonts w:ascii="楷体" w:hAnsi="楷体" w:eastAsia="楷体"/>
          <w:b/>
          <w:color w:val="000000" w:themeColor="text1"/>
          <w:sz w:val="32"/>
          <w:szCs w:val="32"/>
        </w:rPr>
        <w:t>审核体系：</w:t>
      </w:r>
    </w:p>
    <w:p>
      <w:pPr>
        <w:snapToGrid w:val="0"/>
        <w:spacing w:after="93"/>
        <w:ind w:firstLine="957"/>
        <w:rPr>
          <w:rFonts w:ascii="楷体" w:hAnsi="楷体" w:eastAsia="楷体"/>
          <w:b/>
          <w:color w:val="000000" w:themeColor="text1"/>
          <w:sz w:val="32"/>
          <w:szCs w:val="32"/>
        </w:rPr>
      </w:pPr>
      <w:bookmarkStart w:id="1" w:name="Q勾选"/>
      <w:r>
        <w:rPr>
          <w:rFonts w:ascii="楷体" w:hAnsi="楷体" w:eastAsia="楷体"/>
          <w:b/>
          <w:color w:val="000000" w:themeColor="text1"/>
          <w:sz w:val="32"/>
          <w:szCs w:val="32"/>
        </w:rPr>
        <w:t>■</w:t>
      </w:r>
      <w:bookmarkEnd w:id="1"/>
      <w:r>
        <w:rPr>
          <w:rFonts w:ascii="楷体" w:hAnsi="楷体" w:eastAsia="楷体"/>
          <w:b/>
          <w:color w:val="000000" w:themeColor="text1"/>
          <w:sz w:val="32"/>
          <w:szCs w:val="32"/>
        </w:rPr>
        <w:t>质量管理体系（QMS）</w:t>
      </w:r>
    </w:p>
    <w:p>
      <w:pPr>
        <w:snapToGrid w:val="0"/>
        <w:spacing w:after="93"/>
        <w:ind w:firstLine="957"/>
        <w:rPr>
          <w:rFonts w:ascii="楷体" w:hAnsi="楷体" w:eastAsia="楷体"/>
          <w:b/>
          <w:color w:val="000000" w:themeColor="text1"/>
          <w:sz w:val="32"/>
          <w:szCs w:val="32"/>
        </w:rPr>
      </w:pPr>
      <w:bookmarkStart w:id="2" w:name="E勾选"/>
      <w:r>
        <w:rPr>
          <w:rFonts w:hint="eastAsia"/>
          <w:sz w:val="32"/>
          <w:szCs w:val="32"/>
        </w:rPr>
        <w:t>□</w:t>
      </w:r>
      <w:bookmarkEnd w:id="2"/>
      <w:r>
        <w:rPr>
          <w:rFonts w:ascii="楷体" w:hAnsi="楷体" w:eastAsia="楷体"/>
          <w:b/>
          <w:color w:val="000000" w:themeColor="text1"/>
          <w:sz w:val="32"/>
          <w:szCs w:val="32"/>
        </w:rPr>
        <w:t>环境管理体系（EMS）</w:t>
      </w:r>
    </w:p>
    <w:p>
      <w:pPr>
        <w:snapToGrid w:val="0"/>
        <w:spacing w:after="93"/>
        <w:ind w:firstLine="957"/>
        <w:rPr>
          <w:rFonts w:ascii="楷体" w:hAnsi="楷体" w:eastAsia="楷体"/>
          <w:b/>
          <w:color w:val="000000" w:themeColor="text1"/>
          <w:sz w:val="32"/>
          <w:szCs w:val="32"/>
        </w:rPr>
      </w:pPr>
      <w:bookmarkStart w:id="3" w:name="S勾选"/>
      <w:r>
        <w:rPr>
          <w:rFonts w:ascii="楷体" w:hAnsi="楷体" w:eastAsia="楷体"/>
          <w:b/>
          <w:color w:val="000000" w:themeColor="text1"/>
          <w:sz w:val="32"/>
          <w:szCs w:val="32"/>
        </w:rPr>
        <w:t>■</w:t>
      </w:r>
      <w:bookmarkEnd w:id="3"/>
      <w:r>
        <w:rPr>
          <w:rFonts w:ascii="楷体" w:hAnsi="楷体" w:eastAsia="楷体"/>
          <w:b/>
          <w:color w:val="000000" w:themeColor="text1"/>
          <w:sz w:val="32"/>
          <w:szCs w:val="32"/>
        </w:rPr>
        <w:t>职业健康安全管理体系（OHSMS）</w:t>
      </w:r>
    </w:p>
    <w:p>
      <w:pPr>
        <w:snapToGrid w:val="0"/>
        <w:spacing w:after="93"/>
        <w:jc w:val="center"/>
        <w:rPr>
          <w:rFonts w:ascii="楷体" w:hAnsi="楷体" w:eastAsia="楷体"/>
          <w:b/>
          <w:color w:val="000000" w:themeColor="text1"/>
          <w:sz w:val="84"/>
          <w:szCs w:val="84"/>
        </w:rPr>
      </w:pPr>
    </w:p>
    <w:p>
      <w:pPr>
        <w:snapToGrid w:val="0"/>
        <w:spacing w:after="93"/>
        <w:jc w:val="center"/>
        <w:rPr>
          <w:rFonts w:ascii="楷体" w:hAnsi="楷体" w:eastAsia="楷体"/>
          <w:b/>
          <w:color w:val="000000" w:themeColor="text1"/>
          <w:sz w:val="36"/>
          <w:szCs w:val="36"/>
        </w:rPr>
      </w:pPr>
      <w:r>
        <w:rPr>
          <w:rFonts w:ascii="华文楷体" w:hAnsi="华文楷体" w:eastAsia="华文楷体" w:cs="华文楷体"/>
          <w:b/>
          <w:color w:val="000000" w:themeColor="text1"/>
          <w:sz w:val="36"/>
          <w:szCs w:val="36"/>
        </w:rPr>
        <w:t xml:space="preserve">   北京</w:t>
      </w:r>
      <w:r>
        <w:rPr>
          <w:rFonts w:ascii="华文楷体" w:hAnsi="华文楷体" w:eastAsia="华文楷体" w:cs="华文楷体"/>
          <w:b/>
          <w:color w:val="000000"/>
          <w:sz w:val="36"/>
          <w:szCs w:val="36"/>
        </w:rPr>
        <w:t>国标联合</w:t>
      </w:r>
      <w:r>
        <w:rPr>
          <w:rFonts w:ascii="华文楷体" w:hAnsi="华文楷体" w:eastAsia="华文楷体" w:cs="华文楷体"/>
          <w:b/>
          <w:color w:val="000000" w:themeColor="text1"/>
          <w:sz w:val="36"/>
          <w:szCs w:val="36"/>
        </w:rPr>
        <w:t>认证有限公司</w:t>
      </w:r>
    </w:p>
    <w:p>
      <w:pPr>
        <w:widowControl/>
        <w:ind w:firstLine="2172"/>
        <w:jc w:val="left"/>
        <w:rPr>
          <w:rFonts w:ascii="楷体" w:hAnsi="楷体" w:eastAsia="楷体"/>
          <w:b/>
          <w:color w:val="000000" w:themeColor="text1"/>
          <w:sz w:val="36"/>
          <w:szCs w:val="36"/>
        </w:rPr>
      </w:pPr>
      <w:r>
        <w:rPr>
          <w:rFonts w:ascii="楷体" w:hAnsi="楷体" w:eastAsia="楷体"/>
          <w:b/>
          <w:color w:val="000000" w:themeColor="text1"/>
          <w:sz w:val="36"/>
          <w:szCs w:val="36"/>
        </w:rPr>
        <w:t>网址：</w:t>
      </w:r>
      <w:r>
        <w:fldChar w:fldCharType="begin"/>
      </w:r>
      <w:r>
        <w:instrText xml:space="preserve"> HYPERLINK "http://www.china-isc.org.cn/" \h </w:instrText>
      </w:r>
      <w:r>
        <w:fldChar w:fldCharType="separate"/>
      </w:r>
      <w:r>
        <w:rPr>
          <w:rStyle w:val="9"/>
          <w:rFonts w:ascii="楷体" w:hAnsi="楷体" w:eastAsia="楷体"/>
          <w:b/>
          <w:sz w:val="36"/>
          <w:szCs w:val="36"/>
        </w:rPr>
        <w:t>www.china-isc.org.cn</w:t>
      </w:r>
      <w:r>
        <w:rPr>
          <w:rStyle w:val="9"/>
          <w:rFonts w:ascii="楷体" w:hAnsi="楷体" w:eastAsia="楷体"/>
          <w:b/>
          <w:sz w:val="36"/>
          <w:szCs w:val="36"/>
        </w:rPr>
        <w:fldChar w:fldCharType="end"/>
      </w:r>
    </w:p>
    <w:p>
      <w:pPr>
        <w:pStyle w:val="11"/>
        <w:numPr>
          <w:ilvl w:val="0"/>
          <w:numId w:val="1"/>
        </w:numPr>
        <w:ind w:left="-142" w:hanging="709"/>
        <w:rPr>
          <w:rFonts w:ascii="宋体" w:hAnsi="宋体"/>
          <w:b/>
          <w:color w:val="000000" w:themeColor="text1"/>
          <w:sz w:val="26"/>
          <w:szCs w:val="26"/>
        </w:rPr>
      </w:pPr>
      <w:r>
        <w:rPr>
          <w:rFonts w:ascii="宋体" w:hAnsi="宋体"/>
          <w:b/>
          <w:color w:val="000000" w:themeColor="text1"/>
          <w:sz w:val="26"/>
          <w:szCs w:val="26"/>
        </w:rPr>
        <w:t>审核方基本信息</w:t>
      </w:r>
    </w:p>
    <w:tbl>
      <w:tblPr>
        <w:tblStyle w:val="6"/>
        <w:tblW w:w="9863" w:type="dxa"/>
        <w:tblInd w:w="-743" w:type="dxa"/>
        <w:tblLayout w:type="fixed"/>
        <w:tblCellMar>
          <w:top w:w="0" w:type="dxa"/>
          <w:left w:w="108" w:type="dxa"/>
          <w:bottom w:w="0" w:type="dxa"/>
          <w:right w:w="108" w:type="dxa"/>
        </w:tblCellMar>
      </w:tblPr>
      <w:tblGrid>
        <w:gridCol w:w="1697"/>
        <w:gridCol w:w="147"/>
        <w:gridCol w:w="991"/>
        <w:gridCol w:w="1216"/>
        <w:gridCol w:w="2329"/>
        <w:gridCol w:w="850"/>
        <w:gridCol w:w="991"/>
        <w:gridCol w:w="1642"/>
      </w:tblGrid>
      <w:tr>
        <w:tblPrEx>
          <w:tblCellMar>
            <w:top w:w="0" w:type="dxa"/>
            <w:left w:w="108" w:type="dxa"/>
            <w:bottom w:w="0" w:type="dxa"/>
            <w:right w:w="108" w:type="dxa"/>
          </w:tblCellMar>
        </w:tblPrEx>
        <w:trPr>
          <w:trHeight w:val="354" w:hRule="atLeast"/>
        </w:trPr>
        <w:tc>
          <w:tcPr>
            <w:tcW w:w="1697"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审核方名称</w:t>
            </w:r>
          </w:p>
        </w:tc>
        <w:tc>
          <w:tcPr>
            <w:tcW w:w="8166" w:type="dxa"/>
            <w:gridSpan w:val="7"/>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北京国标联合认证有限公司</w:t>
            </w:r>
          </w:p>
        </w:tc>
      </w:tr>
      <w:tr>
        <w:tblPrEx>
          <w:tblCellMar>
            <w:top w:w="0" w:type="dxa"/>
            <w:left w:w="108" w:type="dxa"/>
            <w:bottom w:w="0" w:type="dxa"/>
            <w:right w:w="108" w:type="dxa"/>
          </w:tblCellMar>
        </w:tblPrEx>
        <w:trPr>
          <w:trHeight w:val="377" w:hRule="atLeast"/>
        </w:trPr>
        <w:tc>
          <w:tcPr>
            <w:tcW w:w="1697"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审核方地址</w:t>
            </w:r>
          </w:p>
        </w:tc>
        <w:tc>
          <w:tcPr>
            <w:tcW w:w="5533" w:type="dxa"/>
            <w:gridSpan w:val="5"/>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北京市朝阳区北苑路168号1号楼16层1603</w:t>
            </w:r>
          </w:p>
        </w:tc>
        <w:tc>
          <w:tcPr>
            <w:tcW w:w="991"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邮编</w:t>
            </w:r>
          </w:p>
        </w:tc>
        <w:tc>
          <w:tcPr>
            <w:tcW w:w="1642"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100101</w:t>
            </w:r>
          </w:p>
        </w:tc>
      </w:tr>
      <w:tr>
        <w:tblPrEx>
          <w:tblCellMar>
            <w:top w:w="0" w:type="dxa"/>
            <w:left w:w="108" w:type="dxa"/>
            <w:bottom w:w="0" w:type="dxa"/>
            <w:right w:w="108" w:type="dxa"/>
          </w:tblCellMar>
        </w:tblPrEx>
        <w:trPr>
          <w:trHeight w:val="377" w:hRule="atLeast"/>
        </w:trPr>
        <w:tc>
          <w:tcPr>
            <w:tcW w:w="1697"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联系电话</w:t>
            </w:r>
          </w:p>
        </w:tc>
        <w:tc>
          <w:tcPr>
            <w:tcW w:w="4683" w:type="dxa"/>
            <w:gridSpan w:val="4"/>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rPr>
            </w:pPr>
            <w:r>
              <w:rPr>
                <w:color w:val="000000" w:themeColor="text1"/>
                <w:sz w:val="20"/>
                <w:szCs w:val="20"/>
              </w:rPr>
              <w:t>010-5351 6278</w:t>
            </w:r>
          </w:p>
        </w:tc>
        <w:tc>
          <w:tcPr>
            <w:tcW w:w="850"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邮箱</w:t>
            </w: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18"/>
                <w:szCs w:val="18"/>
              </w:rPr>
            </w:pPr>
            <w:r>
              <w:rPr>
                <w:color w:val="000000" w:themeColor="text1"/>
                <w:sz w:val="18"/>
                <w:szCs w:val="18"/>
              </w:rPr>
              <w:t>service@china-isc.org.cn</w:t>
            </w:r>
          </w:p>
        </w:tc>
      </w:tr>
      <w:tr>
        <w:tblPrEx>
          <w:tblCellMar>
            <w:top w:w="0" w:type="dxa"/>
            <w:left w:w="108" w:type="dxa"/>
            <w:bottom w:w="0" w:type="dxa"/>
            <w:right w:w="108" w:type="dxa"/>
          </w:tblCellMar>
        </w:tblPrEx>
        <w:trPr>
          <w:trHeight w:val="428" w:hRule="atLeast"/>
        </w:trPr>
        <w:tc>
          <w:tcPr>
            <w:tcW w:w="9863" w:type="dxa"/>
            <w:gridSpan w:val="8"/>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审核组成员</w:t>
            </w:r>
          </w:p>
        </w:tc>
      </w:tr>
      <w:tr>
        <w:tblPrEx>
          <w:tblCellMar>
            <w:top w:w="0" w:type="dxa"/>
            <w:left w:w="108" w:type="dxa"/>
            <w:bottom w:w="0" w:type="dxa"/>
            <w:right w:w="108" w:type="dxa"/>
          </w:tblCellMar>
        </w:tblPrEx>
        <w:trPr>
          <w:trHeight w:val="645" w:hRule="atLeast"/>
        </w:trPr>
        <w:tc>
          <w:tcPr>
            <w:tcW w:w="184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sz w:val="18"/>
                <w:szCs w:val="18"/>
              </w:rPr>
              <w:t>姓名</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sz w:val="18"/>
                <w:szCs w:val="18"/>
              </w:rPr>
              <w:t>组内身份</w:t>
            </w:r>
          </w:p>
        </w:tc>
        <w:tc>
          <w:tcPr>
            <w:tcW w:w="12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sz w:val="18"/>
                <w:szCs w:val="18"/>
              </w:rPr>
              <w:t>性别</w:t>
            </w:r>
          </w:p>
        </w:tc>
        <w:tc>
          <w:tcPr>
            <w:tcW w:w="317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sz w:val="18"/>
                <w:szCs w:val="18"/>
              </w:rPr>
              <w:t>注册资格</w:t>
            </w: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sz w:val="18"/>
                <w:szCs w:val="18"/>
              </w:rPr>
              <w:t>专业代码</w:t>
            </w:r>
          </w:p>
        </w:tc>
      </w:tr>
      <w:tr>
        <w:tblPrEx>
          <w:tblCellMar>
            <w:top w:w="0" w:type="dxa"/>
            <w:left w:w="108" w:type="dxa"/>
            <w:bottom w:w="0" w:type="dxa"/>
            <w:right w:w="108" w:type="dxa"/>
          </w:tblCellMar>
        </w:tblPrEx>
        <w:trPr>
          <w:trHeight w:val="645" w:hRule="atLeast"/>
        </w:trPr>
        <w:tc>
          <w:tcPr>
            <w:tcW w:w="184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汪桂丽</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女</w:t>
            </w:r>
          </w:p>
        </w:tc>
        <w:tc>
          <w:tcPr>
            <w:tcW w:w="317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p>
        </w:tc>
      </w:tr>
      <w:tr>
        <w:tblPrEx>
          <w:tblCellMar>
            <w:top w:w="0" w:type="dxa"/>
            <w:left w:w="108" w:type="dxa"/>
            <w:bottom w:w="0" w:type="dxa"/>
            <w:right w:w="108" w:type="dxa"/>
          </w:tblCellMar>
        </w:tblPrEx>
        <w:trPr>
          <w:trHeight w:val="645" w:hRule="atLeast"/>
        </w:trPr>
        <w:tc>
          <w:tcPr>
            <w:tcW w:w="184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周日垚</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男</w:t>
            </w:r>
          </w:p>
        </w:tc>
        <w:tc>
          <w:tcPr>
            <w:tcW w:w="317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0"/>
              </w:rPr>
            </w:pPr>
            <w:r>
              <w:rPr>
                <w:sz w:val="20"/>
              </w:rPr>
              <w:t>Q:06.02.03,15.02.00,17.06.02</w:t>
            </w:r>
          </w:p>
          <w:p>
            <w:pPr>
              <w:spacing w:line="240" w:lineRule="exact"/>
              <w:jc w:val="center"/>
              <w:rPr>
                <w:b/>
                <w:color w:val="000000" w:themeColor="text1"/>
                <w:sz w:val="20"/>
                <w:szCs w:val="20"/>
              </w:rPr>
            </w:pPr>
            <w:r>
              <w:rPr>
                <w:sz w:val="20"/>
              </w:rPr>
              <w:t>O:06.02.03,15.02.00,17.06.02</w:t>
            </w:r>
          </w:p>
        </w:tc>
      </w:tr>
      <w:tr>
        <w:tblPrEx>
          <w:tblCellMar>
            <w:top w:w="0" w:type="dxa"/>
            <w:left w:w="108" w:type="dxa"/>
            <w:bottom w:w="0" w:type="dxa"/>
            <w:right w:w="108" w:type="dxa"/>
          </w:tblCellMar>
        </w:tblPrEx>
        <w:trPr>
          <w:trHeight w:val="351" w:hRule="atLeast"/>
        </w:trPr>
        <w:tc>
          <w:tcPr>
            <w:tcW w:w="9863" w:type="dxa"/>
            <w:gridSpan w:val="8"/>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与审核组同行人员</w:t>
            </w:r>
          </w:p>
        </w:tc>
      </w:tr>
      <w:tr>
        <w:tblPrEx>
          <w:tblCellMar>
            <w:top w:w="0" w:type="dxa"/>
            <w:left w:w="108" w:type="dxa"/>
            <w:bottom w:w="0" w:type="dxa"/>
            <w:right w:w="108" w:type="dxa"/>
          </w:tblCellMar>
        </w:tblPrEx>
        <w:trPr>
          <w:trHeight w:val="351" w:hRule="atLeast"/>
        </w:trPr>
        <w:tc>
          <w:tcPr>
            <w:tcW w:w="1844"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姓名</w:t>
            </w:r>
          </w:p>
        </w:tc>
        <w:tc>
          <w:tcPr>
            <w:tcW w:w="991"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性别</w:t>
            </w:r>
          </w:p>
        </w:tc>
        <w:tc>
          <w:tcPr>
            <w:tcW w:w="1216"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角色</w:t>
            </w:r>
          </w:p>
        </w:tc>
        <w:tc>
          <w:tcPr>
            <w:tcW w:w="3179"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工作单位</w:t>
            </w: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rPr>
            </w:pPr>
            <w:r>
              <w:rPr>
                <w:b/>
                <w:color w:val="000000" w:themeColor="text1"/>
                <w:sz w:val="20"/>
                <w:szCs w:val="20"/>
              </w:rPr>
              <w:t>备注</w:t>
            </w:r>
          </w:p>
        </w:tc>
      </w:tr>
      <w:tr>
        <w:tblPrEx>
          <w:tblCellMar>
            <w:top w:w="0" w:type="dxa"/>
            <w:left w:w="108" w:type="dxa"/>
            <w:bottom w:w="0" w:type="dxa"/>
            <w:right w:w="108" w:type="dxa"/>
          </w:tblCellMar>
        </w:tblPrEx>
        <w:trPr>
          <w:trHeight w:val="351" w:hRule="atLeast"/>
        </w:trPr>
        <w:tc>
          <w:tcPr>
            <w:tcW w:w="1844"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1216"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3179"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r>
      <w:tr>
        <w:tblPrEx>
          <w:tblCellMar>
            <w:top w:w="0" w:type="dxa"/>
            <w:left w:w="108" w:type="dxa"/>
            <w:bottom w:w="0" w:type="dxa"/>
            <w:right w:w="108" w:type="dxa"/>
          </w:tblCellMar>
        </w:tblPrEx>
        <w:trPr>
          <w:trHeight w:val="351" w:hRule="atLeast"/>
        </w:trPr>
        <w:tc>
          <w:tcPr>
            <w:tcW w:w="1844"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1216"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3179"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rPr>
                <w:b/>
                <w:color w:val="000000" w:themeColor="text1"/>
              </w:rPr>
            </w:pPr>
          </w:p>
        </w:tc>
      </w:tr>
    </w:tbl>
    <w:p>
      <w:pPr>
        <w:pStyle w:val="11"/>
        <w:numPr>
          <w:ilvl w:val="0"/>
          <w:numId w:val="1"/>
        </w:numPr>
        <w:ind w:left="-142" w:hanging="709"/>
        <w:rPr>
          <w:rFonts w:ascii="宋体" w:hAnsi="宋体"/>
          <w:b/>
          <w:color w:val="000000" w:themeColor="text1"/>
          <w:sz w:val="26"/>
          <w:szCs w:val="26"/>
        </w:rPr>
      </w:pPr>
      <w:r>
        <w:rPr>
          <w:rFonts w:ascii="宋体" w:hAnsi="宋体"/>
          <w:b/>
          <w:color w:val="000000" w:themeColor="text1"/>
          <w:sz w:val="26"/>
          <w:szCs w:val="26"/>
        </w:rPr>
        <w:t>审核目的</w:t>
      </w:r>
    </w:p>
    <w:tbl>
      <w:tblPr>
        <w:tblStyle w:val="7"/>
        <w:tblW w:w="9923"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sz w:val="20"/>
              </w:rPr>
              <w:t>■</w:t>
            </w:r>
            <w:r>
              <w:rPr>
                <w:rFonts w:ascii="宋体" w:cs="宋体" w:hAnsiTheme="minorHAnsi"/>
                <w:color w:val="000000" w:themeColor="text1"/>
                <w:kern w:val="0"/>
                <w:sz w:val="20"/>
                <w:szCs w:val="20"/>
              </w:rPr>
              <w:t>QMS/□EMS/</w:t>
            </w:r>
            <w:r>
              <w:rPr>
                <w:sz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ascii="宋体" w:cs="宋体" w:hAnsiTheme="minorHAnsi"/>
                <w:color w:val="000000" w:themeColor="text1"/>
                <w:kern w:val="0"/>
                <w:sz w:val="20"/>
                <w:szCs w:val="20"/>
              </w:rPr>
              <w:t>第二阶段审核：</w:t>
            </w:r>
          </w:p>
        </w:tc>
        <w:tc>
          <w:tcPr>
            <w:tcW w:w="7653" w:type="dxa"/>
            <w:vAlign w:val="center"/>
          </w:tcPr>
          <w:p>
            <w:pPr>
              <w:autoSpaceDE w:val="0"/>
              <w:autoSpaceDN w:val="0"/>
              <w:jc w:val="left"/>
              <w:rPr>
                <w:rFonts w:ascii="宋体" w:cs="宋体" w:hAnsiTheme="minorHAnsi"/>
                <w:color w:val="000000" w:themeColor="text1"/>
                <w:kern w:val="0"/>
                <w:sz w:val="20"/>
                <w:szCs w:val="20"/>
              </w:rPr>
            </w:pPr>
            <w:r>
              <w:rPr>
                <w:rFonts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ascii="宋体" w:cs="宋体" w:hAnsiTheme="minorHAnsi"/>
                <w:color w:val="000000" w:themeColor="text1"/>
                <w:kern w:val="0"/>
                <w:sz w:val="20"/>
                <w:szCs w:val="20"/>
              </w:rPr>
              <w:t>□QMS/□EMS/□OHSMS</w:t>
            </w:r>
          </w:p>
          <w:p>
            <w:pPr>
              <w:rPr>
                <w:rFonts w:ascii="宋体" w:hAnsi="宋体"/>
                <w:b/>
                <w:color w:val="000000" w:themeColor="text1"/>
                <w:sz w:val="20"/>
                <w:szCs w:val="20"/>
              </w:rPr>
            </w:pPr>
            <w:r>
              <w:rPr>
                <w:rFonts w:ascii="宋体" w:cs="宋体" w:hAnsiTheme="minorHAnsi"/>
                <w:color w:val="000000" w:themeColor="text1"/>
                <w:kern w:val="0"/>
                <w:sz w:val="20"/>
                <w:szCs w:val="20"/>
              </w:rPr>
              <w:t>再认证审核：</w:t>
            </w:r>
          </w:p>
        </w:tc>
        <w:tc>
          <w:tcPr>
            <w:tcW w:w="7653" w:type="dxa"/>
          </w:tcPr>
          <w:p>
            <w:pPr>
              <w:rPr>
                <w:rFonts w:ascii="宋体" w:hAnsi="宋体"/>
                <w:b/>
                <w:color w:val="000000" w:themeColor="text1"/>
                <w:sz w:val="20"/>
                <w:szCs w:val="20"/>
              </w:rPr>
            </w:pPr>
            <w:r>
              <w:rPr>
                <w:rFonts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ascii="宋体" w:cs="宋体" w:hAnsiTheme="minorHAnsi"/>
                <w:color w:val="000000" w:themeColor="text1"/>
                <w:kern w:val="0"/>
                <w:sz w:val="20"/>
                <w:szCs w:val="20"/>
              </w:rPr>
              <w:t>□恢复审核：</w:t>
            </w:r>
          </w:p>
        </w:tc>
        <w:tc>
          <w:tcPr>
            <w:tcW w:w="7653" w:type="dxa"/>
          </w:tcPr>
          <w:p>
            <w:pPr>
              <w:autoSpaceDE w:val="0"/>
              <w:autoSpaceDN w:val="0"/>
              <w:jc w:val="left"/>
              <w:rPr>
                <w:rFonts w:ascii="宋体" w:hAnsi="宋体"/>
                <w:b/>
                <w:color w:val="000000" w:themeColor="text1"/>
                <w:sz w:val="20"/>
                <w:szCs w:val="20"/>
              </w:rPr>
            </w:pPr>
            <w:r>
              <w:rPr>
                <w:rFonts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rPr>
          <w:rFonts w:ascii="宋体" w:hAnsi="宋体"/>
          <w:b/>
          <w:color w:val="000000" w:themeColor="text1"/>
          <w:sz w:val="26"/>
          <w:szCs w:val="26"/>
        </w:rPr>
      </w:pPr>
      <w:r>
        <w:rPr>
          <w:rFonts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ascii="宋体" w:hAnsi="宋体"/>
          <w:b/>
          <w:color w:val="000000" w:themeColor="text1"/>
          <w:spacing w:val="-10"/>
          <w:sz w:val="20"/>
          <w:szCs w:val="20"/>
        </w:rPr>
        <w:t>Q：GB/T19001-2016/ISO9001:2015,O：GB/T45001-2020 / ISO45001：2018</w:t>
      </w:r>
      <w:bookmarkEnd w:id="4"/>
    </w:p>
    <w:p>
      <w:pPr>
        <w:pStyle w:val="11"/>
        <w:numPr>
          <w:ilvl w:val="0"/>
          <w:numId w:val="1"/>
        </w:numPr>
        <w:ind w:left="-142" w:hanging="709"/>
        <w:rPr>
          <w:rFonts w:ascii="宋体" w:hAnsi="宋体"/>
          <w:b/>
          <w:color w:val="000000" w:themeColor="text1"/>
          <w:sz w:val="26"/>
          <w:szCs w:val="26"/>
        </w:rPr>
      </w:pPr>
      <w:r>
        <w:rPr>
          <w:rFonts w:ascii="宋体" w:hAnsi="宋体"/>
          <w:b/>
          <w:color w:val="000000" w:themeColor="text1"/>
          <w:sz w:val="26"/>
          <w:szCs w:val="26"/>
        </w:rPr>
        <w:t>受审核方基本信息</w:t>
      </w:r>
    </w:p>
    <w:tbl>
      <w:tblPr>
        <w:tblStyle w:val="6"/>
        <w:tblW w:w="9876" w:type="dxa"/>
        <w:jc w:val="center"/>
        <w:tblLayout w:type="fixed"/>
        <w:tblCellMar>
          <w:top w:w="0" w:type="dxa"/>
          <w:left w:w="108" w:type="dxa"/>
          <w:bottom w:w="0" w:type="dxa"/>
          <w:right w:w="108" w:type="dxa"/>
        </w:tblCellMar>
      </w:tblPr>
      <w:tblGrid>
        <w:gridCol w:w="1919"/>
        <w:gridCol w:w="1620"/>
        <w:gridCol w:w="1081"/>
        <w:gridCol w:w="282"/>
        <w:gridCol w:w="987"/>
        <w:gridCol w:w="531"/>
        <w:gridCol w:w="79"/>
        <w:gridCol w:w="396"/>
        <w:gridCol w:w="127"/>
        <w:gridCol w:w="611"/>
        <w:gridCol w:w="227"/>
        <w:gridCol w:w="156"/>
        <w:gridCol w:w="24"/>
        <w:gridCol w:w="540"/>
        <w:gridCol w:w="1296"/>
      </w:tblGrid>
      <w:tr>
        <w:tblPrEx>
          <w:tblCellMar>
            <w:top w:w="0" w:type="dxa"/>
            <w:left w:w="108" w:type="dxa"/>
            <w:bottom w:w="0" w:type="dxa"/>
            <w:right w:w="108" w:type="dxa"/>
          </w:tblCellMar>
        </w:tblPrEx>
        <w:trPr>
          <w:trHeight w:val="293" w:hRule="atLeast"/>
          <w:jc w:val="center"/>
        </w:trPr>
        <w:tc>
          <w:tcPr>
            <w:tcW w:w="1918"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r>
              <w:rPr>
                <w:rFonts w:ascii="宋体" w:hAnsi="宋体"/>
                <w:b/>
                <w:color w:val="000000" w:themeColor="text1"/>
                <w:sz w:val="20"/>
                <w:szCs w:val="20"/>
              </w:rPr>
              <w:t>受审核方名称</w:t>
            </w:r>
          </w:p>
        </w:tc>
        <w:tc>
          <w:tcPr>
            <w:tcW w:w="4580" w:type="dxa"/>
            <w:gridSpan w:val="6"/>
            <w:tcBorders>
              <w:top w:val="single" w:color="000000" w:sz="4" w:space="0"/>
              <w:left w:val="single" w:color="000000" w:sz="4" w:space="0"/>
              <w:bottom w:val="single" w:color="000000" w:sz="4" w:space="0"/>
              <w:right w:val="single" w:color="000000" w:sz="4" w:space="0"/>
            </w:tcBorders>
          </w:tcPr>
          <w:p>
            <w:pPr>
              <w:spacing w:line="320" w:lineRule="exact"/>
              <w:jc w:val="center"/>
              <w:rPr>
                <w:rFonts w:ascii="宋体" w:hAnsi="宋体"/>
                <w:b/>
                <w:color w:val="000000" w:themeColor="text1"/>
                <w:sz w:val="20"/>
                <w:szCs w:val="20"/>
              </w:rPr>
            </w:pPr>
            <w:r>
              <w:rPr>
                <w:szCs w:val="21"/>
              </w:rPr>
              <w:t>青岛茳森工程有限公司</w:t>
            </w:r>
          </w:p>
        </w:tc>
        <w:tc>
          <w:tcPr>
            <w:tcW w:w="1134" w:type="dxa"/>
            <w:gridSpan w:val="3"/>
            <w:tcBorders>
              <w:top w:val="single" w:color="000000" w:sz="4" w:space="0"/>
              <w:left w:val="single" w:color="000000" w:sz="4" w:space="0"/>
              <w:bottom w:val="single" w:color="000000" w:sz="4" w:space="0"/>
              <w:right w:val="single" w:color="000000" w:sz="4" w:space="0"/>
            </w:tcBorders>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组织人数</w:t>
            </w:r>
          </w:p>
        </w:tc>
        <w:tc>
          <w:tcPr>
            <w:tcW w:w="2243" w:type="dxa"/>
            <w:gridSpan w:val="5"/>
            <w:tcBorders>
              <w:top w:val="single" w:color="000000" w:sz="4" w:space="0"/>
              <w:left w:val="single" w:color="000000" w:sz="4" w:space="0"/>
              <w:bottom w:val="single" w:color="000000" w:sz="4" w:space="0"/>
              <w:right w:val="single" w:color="000000" w:sz="4" w:space="0"/>
            </w:tcBorders>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29</w:t>
            </w:r>
            <w:bookmarkEnd w:id="5"/>
          </w:p>
        </w:tc>
      </w:tr>
      <w:tr>
        <w:tblPrEx>
          <w:tblCellMar>
            <w:top w:w="0" w:type="dxa"/>
            <w:left w:w="108" w:type="dxa"/>
            <w:bottom w:w="0" w:type="dxa"/>
            <w:right w:w="108" w:type="dxa"/>
          </w:tblCellMar>
        </w:tblPrEx>
        <w:trPr>
          <w:trHeight w:val="307" w:hRule="atLeast"/>
          <w:jc w:val="center"/>
        </w:trPr>
        <w:tc>
          <w:tcPr>
            <w:tcW w:w="1918"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r>
              <w:rPr>
                <w:rFonts w:ascii="宋体" w:hAnsi="宋体"/>
                <w:b/>
                <w:color w:val="000000" w:themeColor="text1"/>
                <w:sz w:val="20"/>
                <w:szCs w:val="20"/>
              </w:rPr>
              <w:t>注册地址</w:t>
            </w:r>
          </w:p>
        </w:tc>
        <w:tc>
          <w:tcPr>
            <w:tcW w:w="6121" w:type="dxa"/>
            <w:gridSpan w:val="12"/>
            <w:tcBorders>
              <w:top w:val="single" w:color="000000" w:sz="4" w:space="0"/>
              <w:left w:val="single" w:color="000000" w:sz="4" w:space="0"/>
              <w:bottom w:val="single" w:color="000000" w:sz="4" w:space="0"/>
              <w:right w:val="single" w:color="000000" w:sz="4" w:space="0"/>
            </w:tcBorders>
          </w:tcPr>
          <w:p>
            <w:pPr>
              <w:spacing w:line="320" w:lineRule="exact"/>
              <w:jc w:val="left"/>
              <w:rPr>
                <w:rFonts w:ascii="宋体" w:hAnsi="宋体"/>
                <w:b/>
                <w:color w:val="000000" w:themeColor="text1"/>
                <w:sz w:val="20"/>
                <w:szCs w:val="20"/>
              </w:rPr>
            </w:pPr>
            <w:bookmarkStart w:id="6" w:name="生产地址"/>
            <w:r>
              <w:rPr>
                <w:rFonts w:asciiTheme="minorEastAsia" w:hAnsiTheme="minorEastAsia" w:eastAsiaTheme="minorEastAsia"/>
                <w:sz w:val="20"/>
              </w:rPr>
              <w:t>青岛市即墨区由和三路12号（通济新区）青岛茳森工程有限公司即墨分公司</w:t>
            </w:r>
            <w:bookmarkEnd w:id="6"/>
          </w:p>
        </w:tc>
        <w:tc>
          <w:tcPr>
            <w:tcW w:w="540" w:type="dxa"/>
            <w:vMerge w:val="restart"/>
            <w:tcBorders>
              <w:top w:val="single" w:color="000000" w:sz="4" w:space="0"/>
              <w:left w:val="single" w:color="000000" w:sz="4" w:space="0"/>
              <w:bottom w:val="single" w:color="000000" w:sz="4" w:space="0"/>
              <w:right w:val="single" w:color="000000" w:sz="4" w:space="0"/>
            </w:tcBorders>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编</w:t>
            </w:r>
          </w:p>
        </w:tc>
        <w:tc>
          <w:tcPr>
            <w:tcW w:w="1296"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bookmarkStart w:id="7" w:name="注册邮编"/>
            <w:r>
              <w:rPr>
                <w:rFonts w:ascii="宋体" w:hAnsi="宋体"/>
                <w:b/>
                <w:color w:val="000000" w:themeColor="text1"/>
                <w:sz w:val="20"/>
                <w:szCs w:val="20"/>
              </w:rPr>
              <w:t>266321</w:t>
            </w:r>
            <w:bookmarkEnd w:id="7"/>
          </w:p>
        </w:tc>
      </w:tr>
      <w:tr>
        <w:tblPrEx>
          <w:tblCellMar>
            <w:top w:w="0" w:type="dxa"/>
            <w:left w:w="108" w:type="dxa"/>
            <w:bottom w:w="0" w:type="dxa"/>
            <w:right w:w="108" w:type="dxa"/>
          </w:tblCellMar>
        </w:tblPrEx>
        <w:trPr>
          <w:trHeight w:val="315"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经营地址1</w:t>
            </w:r>
          </w:p>
        </w:tc>
        <w:tc>
          <w:tcPr>
            <w:tcW w:w="6121" w:type="dxa"/>
            <w:gridSpan w:val="12"/>
            <w:tcBorders>
              <w:top w:val="single" w:color="000000" w:sz="4" w:space="0"/>
              <w:left w:val="single" w:color="000000" w:sz="4" w:space="0"/>
              <w:bottom w:val="single" w:color="000000" w:sz="4" w:space="0"/>
              <w:right w:val="single" w:color="000000" w:sz="4" w:space="0"/>
            </w:tcBorders>
          </w:tcPr>
          <w:p>
            <w:pPr>
              <w:spacing w:line="320" w:lineRule="exact"/>
              <w:jc w:val="left"/>
              <w:rPr>
                <w:rFonts w:ascii="宋体" w:hAnsi="宋体"/>
                <w:b/>
                <w:color w:val="000000" w:themeColor="text1"/>
                <w:sz w:val="20"/>
                <w:szCs w:val="20"/>
              </w:rPr>
            </w:pPr>
            <w:r>
              <w:rPr>
                <w:rFonts w:asciiTheme="minorEastAsia" w:hAnsiTheme="minorEastAsia" w:eastAsiaTheme="minorEastAsia"/>
                <w:sz w:val="20"/>
              </w:rPr>
              <w:t>青岛市即墨区由和三路12号（通济新区）青岛茳森工程有限公司即墨分公司</w:t>
            </w: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p>
        </w:tc>
        <w:tc>
          <w:tcPr>
            <w:tcW w:w="1296"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266321</w:t>
            </w:r>
            <w:bookmarkEnd w:id="8"/>
          </w:p>
        </w:tc>
      </w:tr>
      <w:tr>
        <w:tblPrEx>
          <w:tblCellMar>
            <w:top w:w="0" w:type="dxa"/>
            <w:left w:w="108" w:type="dxa"/>
            <w:bottom w:w="0" w:type="dxa"/>
            <w:right w:w="108" w:type="dxa"/>
          </w:tblCellMar>
        </w:tblPrEx>
        <w:trPr>
          <w:trHeight w:val="315"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经营地址2</w:t>
            </w:r>
          </w:p>
        </w:tc>
        <w:tc>
          <w:tcPr>
            <w:tcW w:w="6121" w:type="dxa"/>
            <w:gridSpan w:val="12"/>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p>
        </w:tc>
        <w:tc>
          <w:tcPr>
            <w:tcW w:w="1296"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p>
        </w:tc>
      </w:tr>
      <w:tr>
        <w:tblPrEx>
          <w:tblCellMar>
            <w:top w:w="0" w:type="dxa"/>
            <w:left w:w="108" w:type="dxa"/>
            <w:bottom w:w="0" w:type="dxa"/>
            <w:right w:w="108" w:type="dxa"/>
          </w:tblCellMar>
        </w:tblPrEx>
        <w:trPr>
          <w:trHeight w:val="315"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经营地址3</w:t>
            </w:r>
          </w:p>
        </w:tc>
        <w:tc>
          <w:tcPr>
            <w:tcW w:w="6121" w:type="dxa"/>
            <w:gridSpan w:val="12"/>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p>
        </w:tc>
        <w:tc>
          <w:tcPr>
            <w:tcW w:w="1296"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p>
        </w:tc>
      </w:tr>
      <w:tr>
        <w:tblPrEx>
          <w:tblCellMar>
            <w:top w:w="0" w:type="dxa"/>
            <w:left w:w="108" w:type="dxa"/>
            <w:bottom w:w="0" w:type="dxa"/>
            <w:right w:w="108" w:type="dxa"/>
          </w:tblCellMar>
        </w:tblPrEx>
        <w:trPr>
          <w:trHeight w:val="237"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经营地址4</w:t>
            </w:r>
          </w:p>
        </w:tc>
        <w:tc>
          <w:tcPr>
            <w:tcW w:w="6121" w:type="dxa"/>
            <w:gridSpan w:val="12"/>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p>
        </w:tc>
        <w:tc>
          <w:tcPr>
            <w:tcW w:w="1296"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p>
        </w:tc>
      </w:tr>
      <w:tr>
        <w:tblPrEx>
          <w:tblCellMar>
            <w:top w:w="0" w:type="dxa"/>
            <w:left w:w="108" w:type="dxa"/>
            <w:bottom w:w="0" w:type="dxa"/>
            <w:right w:w="108" w:type="dxa"/>
          </w:tblCellMar>
        </w:tblPrEx>
        <w:trPr>
          <w:trHeight w:val="247"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联系人</w:t>
            </w: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李培花</w:t>
            </w:r>
          </w:p>
        </w:tc>
        <w:tc>
          <w:tcPr>
            <w:tcW w:w="1363"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电话</w:t>
            </w:r>
          </w:p>
        </w:tc>
        <w:tc>
          <w:tcPr>
            <w:tcW w:w="199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0532-82528605</w:t>
            </w:r>
            <w:bookmarkEnd w:id="9"/>
          </w:p>
        </w:tc>
        <w:tc>
          <w:tcPr>
            <w:tcW w:w="965"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传真</w:t>
            </w:r>
          </w:p>
        </w:tc>
        <w:tc>
          <w:tcPr>
            <w:tcW w:w="2016"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CellMar>
            <w:top w:w="0" w:type="dxa"/>
            <w:left w:w="108" w:type="dxa"/>
            <w:bottom w:w="0" w:type="dxa"/>
            <w:right w:w="108" w:type="dxa"/>
          </w:tblCellMar>
        </w:tblPrEx>
        <w:trPr>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法人代表</w:t>
            </w: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王重光</w:t>
            </w:r>
          </w:p>
        </w:tc>
        <w:tc>
          <w:tcPr>
            <w:tcW w:w="1363"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最高管理者</w:t>
            </w:r>
          </w:p>
        </w:tc>
        <w:tc>
          <w:tcPr>
            <w:tcW w:w="1518"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pacing w:val="-20"/>
                <w:sz w:val="20"/>
                <w:szCs w:val="20"/>
              </w:rPr>
            </w:pPr>
            <w:bookmarkStart w:id="11" w:name="最高管理者"/>
            <w:bookmarkEnd w:id="11"/>
            <w:r>
              <w:rPr>
                <w:rFonts w:hint="eastAsia" w:ascii="宋体" w:hAnsi="宋体"/>
                <w:b/>
                <w:color w:val="000000" w:themeColor="text1"/>
                <w:sz w:val="20"/>
                <w:szCs w:val="20"/>
              </w:rPr>
              <w:t>王重光</w:t>
            </w:r>
          </w:p>
        </w:tc>
        <w:tc>
          <w:tcPr>
            <w:tcW w:w="144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体系负责人</w:t>
            </w:r>
          </w:p>
        </w:tc>
        <w:tc>
          <w:tcPr>
            <w:tcW w:w="2016"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张天昊</w:t>
            </w:r>
          </w:p>
        </w:tc>
      </w:tr>
      <w:tr>
        <w:trPr>
          <w:trHeight w:val="1050"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b/>
                <w:color w:val="000000" w:themeColor="text1"/>
                <w:sz w:val="20"/>
                <w:szCs w:val="20"/>
              </w:rPr>
            </w:pPr>
            <w:bookmarkStart w:id="12" w:name="审核范围"/>
            <w:r>
              <w:rPr>
                <w:rFonts w:ascii="宋体" w:hAnsi="宋体"/>
                <w:b/>
                <w:color w:val="000000" w:themeColor="text1"/>
                <w:sz w:val="20"/>
                <w:szCs w:val="20"/>
              </w:rPr>
              <w:t>Q：许可范围内的防火卷帘门、防火门和挡烟垂壁的研发、生产（分支机构经营）</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O：许可范围内的防火卷帘门、防火门和挡烟垂壁的研发、生产（分支机构经营）所涉及场所的相关职业健康安全管理活动</w:t>
            </w:r>
            <w:bookmarkEnd w:id="12"/>
          </w:p>
        </w:tc>
      </w:tr>
      <w:tr>
        <w:tblPrEx>
          <w:tblCellMar>
            <w:top w:w="0" w:type="dxa"/>
            <w:left w:w="108" w:type="dxa"/>
            <w:bottom w:w="0" w:type="dxa"/>
            <w:right w:w="108" w:type="dxa"/>
          </w:tblCellMar>
        </w:tblPrEx>
        <w:trPr>
          <w:trHeight w:val="606"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专业代码</w:t>
            </w:r>
          </w:p>
        </w:tc>
        <w:tc>
          <w:tcPr>
            <w:tcW w:w="3970" w:type="dxa"/>
            <w:gridSpan w:val="4"/>
            <w:tcBorders>
              <w:top w:val="single" w:color="000000" w:sz="4" w:space="0"/>
              <w:left w:val="single" w:color="000000" w:sz="4" w:space="0"/>
              <w:bottom w:val="single" w:color="000000" w:sz="4" w:space="0"/>
              <w:right w:val="single" w:color="000000" w:sz="4" w:space="0"/>
            </w:tcBorders>
          </w:tcPr>
          <w:p>
            <w:pPr>
              <w:rPr>
                <w:sz w:val="20"/>
              </w:rPr>
            </w:pPr>
            <w:r>
              <w:rPr>
                <w:sz w:val="20"/>
              </w:rPr>
              <w:t>Q:06.02.03,15.02.00,17.06.02</w:t>
            </w:r>
          </w:p>
          <w:p>
            <w:pPr>
              <w:spacing w:line="320" w:lineRule="exact"/>
              <w:rPr>
                <w:rFonts w:ascii="宋体" w:hAnsi="宋体"/>
                <w:b/>
                <w:color w:val="000000" w:themeColor="text1"/>
                <w:sz w:val="20"/>
                <w:szCs w:val="20"/>
              </w:rPr>
            </w:pPr>
            <w:r>
              <w:rPr>
                <w:sz w:val="20"/>
              </w:rPr>
              <w:t>O:06.02.03,15.02.00,17.06.02</w:t>
            </w:r>
          </w:p>
        </w:tc>
        <w:tc>
          <w:tcPr>
            <w:tcW w:w="2127"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是否是一体化审核</w:t>
            </w:r>
          </w:p>
        </w:tc>
        <w:tc>
          <w:tcPr>
            <w:tcW w:w="186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b/>
                <w:color w:val="000000" w:themeColor="text1"/>
                <w:sz w:val="20"/>
                <w:szCs w:val="20"/>
              </w:rPr>
            </w:pPr>
            <w:r>
              <w:rPr>
                <w:sz w:val="32"/>
                <w:szCs w:val="32"/>
              </w:rPr>
              <w:t>■</w:t>
            </w:r>
            <w:r>
              <w:rPr>
                <w:rFonts w:ascii="宋体" w:hAnsi="宋体"/>
                <w:b/>
                <w:color w:val="000000" w:themeColor="text1"/>
                <w:sz w:val="20"/>
                <w:szCs w:val="20"/>
              </w:rPr>
              <w:t>是    □否</w:t>
            </w:r>
          </w:p>
        </w:tc>
      </w:tr>
      <w:tr>
        <w:tblPrEx>
          <w:tblCellMar>
            <w:top w:w="0" w:type="dxa"/>
            <w:left w:w="108" w:type="dxa"/>
            <w:bottom w:w="0" w:type="dxa"/>
            <w:right w:w="108" w:type="dxa"/>
          </w:tblCellMar>
        </w:tblPrEx>
        <w:trPr>
          <w:trHeight w:val="564" w:hRule="atLeas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pacing w:val="-8"/>
                <w:sz w:val="20"/>
                <w:szCs w:val="20"/>
              </w:rPr>
            </w:pPr>
            <w:r>
              <w:rPr>
                <w:rFonts w:ascii="宋体" w:hAnsi="宋体"/>
                <w:b/>
                <w:color w:val="000000" w:themeColor="text1"/>
                <w:spacing w:val="-8"/>
                <w:sz w:val="20"/>
                <w:szCs w:val="20"/>
              </w:rPr>
              <w:t>体系文件实施时间</w:t>
            </w:r>
          </w:p>
        </w:tc>
        <w:tc>
          <w:tcPr>
            <w:tcW w:w="270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b/>
                <w:color w:val="000000" w:themeColor="text1"/>
                <w:sz w:val="20"/>
                <w:szCs w:val="20"/>
              </w:rPr>
            </w:pPr>
            <w:bookmarkStart w:id="13" w:name="体系运行时间"/>
            <w:r>
              <w:rPr>
                <w:rFonts w:ascii="宋体" w:hAnsi="宋体"/>
                <w:b/>
                <w:color w:val="000000" w:themeColor="text1"/>
                <w:sz w:val="20"/>
                <w:szCs w:val="20"/>
              </w:rPr>
              <w:t xml:space="preserve">2021-6-23 </w:t>
            </w:r>
            <w:bookmarkEnd w:id="13"/>
          </w:p>
        </w:tc>
        <w:tc>
          <w:tcPr>
            <w:tcW w:w="240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b/>
                <w:color w:val="000000" w:themeColor="text1"/>
                <w:sz w:val="20"/>
                <w:szCs w:val="20"/>
              </w:rPr>
            </w:pPr>
            <w:r>
              <w:rPr>
                <w:rFonts w:ascii="宋体" w:hAnsi="宋体"/>
                <w:b/>
                <w:color w:val="000000" w:themeColor="text1"/>
                <w:sz w:val="20"/>
                <w:szCs w:val="20"/>
              </w:rPr>
              <w:t>上次审核时间（再认证）</w:t>
            </w:r>
          </w:p>
        </w:tc>
        <w:tc>
          <w:tcPr>
            <w:tcW w:w="2854"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b/>
                <w:color w:val="000000" w:themeColor="text1"/>
                <w:sz w:val="20"/>
                <w:szCs w:val="20"/>
              </w:rPr>
            </w:pPr>
          </w:p>
        </w:tc>
      </w:tr>
      <w:tr>
        <w:trPr>
          <w:cantSpli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 w:val="20"/>
                <w:szCs w:val="20"/>
              </w:rPr>
            </w:pPr>
            <w:r>
              <w:rPr>
                <w:rFonts w:ascii="宋体" w:hAnsi="宋体"/>
                <w:b/>
                <w:color w:val="000000" w:themeColor="text1"/>
                <w:sz w:val="20"/>
                <w:szCs w:val="20"/>
              </w:rPr>
              <w:t>体系区域</w:t>
            </w:r>
          </w:p>
        </w:tc>
        <w:tc>
          <w:tcPr>
            <w:tcW w:w="7957" w:type="dxa"/>
            <w:gridSpan w:val="14"/>
            <w:tcBorders>
              <w:top w:val="single" w:color="000000" w:sz="4" w:space="0"/>
              <w:left w:val="single" w:color="000000" w:sz="4" w:space="0"/>
              <w:bottom w:val="single" w:color="000000" w:sz="4" w:space="0"/>
              <w:right w:val="single" w:color="000000" w:sz="4" w:space="0"/>
            </w:tcBorders>
          </w:tcPr>
          <w:p>
            <w:pPr>
              <w:jc w:val="left"/>
              <w:rPr>
                <w:rFonts w:ascii="宋体" w:hAnsi="宋体"/>
                <w:b/>
                <w:color w:val="000000" w:themeColor="text1"/>
                <w:spacing w:val="-20"/>
                <w:sz w:val="20"/>
                <w:szCs w:val="20"/>
              </w:rPr>
            </w:pPr>
            <w:r>
              <w:rPr>
                <w:rFonts w:ascii="宋体" w:hAnsi="宋体"/>
                <w:b/>
                <w:color w:val="000000" w:themeColor="text1"/>
                <w:sz w:val="20"/>
                <w:szCs w:val="20"/>
              </w:rPr>
              <w:t>总部以外分公司（分场所）名称、地址（附多场所清单）</w:t>
            </w:r>
            <w:r>
              <w:rPr>
                <w:rFonts w:ascii="宋体" w:hAnsi="宋体"/>
                <w:b/>
                <w:color w:val="000000" w:themeColor="text1"/>
                <w:spacing w:val="-20"/>
                <w:sz w:val="20"/>
                <w:szCs w:val="20"/>
              </w:rPr>
              <w:t>：</w:t>
            </w:r>
          </w:p>
          <w:p>
            <w:pPr>
              <w:jc w:val="left"/>
              <w:rPr>
                <w:rFonts w:ascii="宋体" w:hAnsi="宋体"/>
                <w:b/>
                <w:color w:val="000000" w:themeColor="text1"/>
                <w:spacing w:val="-20"/>
                <w:sz w:val="20"/>
                <w:szCs w:val="20"/>
              </w:rPr>
            </w:pPr>
            <w:r>
              <w:rPr>
                <w:rFonts w:asciiTheme="minorEastAsia" w:hAnsiTheme="minorEastAsia" w:eastAsiaTheme="minorEastAsia"/>
                <w:sz w:val="20"/>
              </w:rPr>
              <w:t>青岛市即墨区由和三路12号（通济新区）青岛茳森工程有限公司即墨分公司</w:t>
            </w:r>
          </w:p>
          <w:p>
            <w:pPr>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ascii="宋体" w:hAnsi="宋体"/>
                <w:b/>
                <w:color w:val="000000" w:themeColor="text1"/>
                <w:sz w:val="20"/>
                <w:szCs w:val="20"/>
              </w:rPr>
              <w:t>所有项目部（</w:t>
            </w:r>
            <w:r>
              <w:rPr>
                <w:rFonts w:ascii="宋体" w:hAnsi="宋体"/>
                <w:b/>
                <w:color w:val="000000" w:themeColor="text1"/>
                <w:spacing w:val="-2"/>
                <w:sz w:val="20"/>
                <w:szCs w:val="20"/>
              </w:rPr>
              <w:t>临时场所</w:t>
            </w:r>
            <w:r>
              <w:rPr>
                <w:rFonts w:ascii="宋体" w:hAnsi="宋体"/>
                <w:b/>
                <w:color w:val="000000" w:themeColor="text1"/>
                <w:sz w:val="20"/>
                <w:szCs w:val="20"/>
              </w:rPr>
              <w:t>）名称、地址（可附项目清单）：</w:t>
            </w:r>
          </w:p>
          <w:p>
            <w:pPr>
              <w:rPr>
                <w:rFonts w:ascii="宋体" w:hAnsi="宋体"/>
                <w:b/>
                <w:color w:val="000000" w:themeColor="text1"/>
                <w:sz w:val="20"/>
                <w:szCs w:val="20"/>
              </w:rPr>
            </w:pPr>
          </w:p>
        </w:tc>
      </w:tr>
      <w:tr>
        <w:tblPrEx>
          <w:tblCellMar>
            <w:top w:w="0" w:type="dxa"/>
            <w:left w:w="108" w:type="dxa"/>
            <w:bottom w:w="0" w:type="dxa"/>
            <w:right w:w="108" w:type="dxa"/>
          </w:tblCellMar>
        </w:tblPrEx>
        <w:trPr>
          <w:cantSplit/>
          <w:jc w:val="center"/>
        </w:trPr>
        <w:tc>
          <w:tcPr>
            <w:tcW w:w="19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ascii="宋体" w:hAnsi="宋体"/>
                <w:b/>
                <w:color w:val="000000" w:themeColor="text1"/>
                <w:sz w:val="20"/>
                <w:szCs w:val="20"/>
              </w:rPr>
              <w:t>（再认证）</w:t>
            </w:r>
          </w:p>
        </w:tc>
        <w:tc>
          <w:tcPr>
            <w:tcW w:w="7957" w:type="dxa"/>
            <w:gridSpan w:val="14"/>
            <w:tcBorders>
              <w:top w:val="single" w:color="000000" w:sz="4" w:space="0"/>
              <w:left w:val="single" w:color="000000" w:sz="4" w:space="0"/>
              <w:bottom w:val="single" w:color="000000" w:sz="4" w:space="0"/>
              <w:right w:val="single" w:color="000000" w:sz="4" w:space="0"/>
            </w:tcBorders>
          </w:tcPr>
          <w:p>
            <w:pPr>
              <w:jc w:val="left"/>
              <w:rPr>
                <w:rFonts w:ascii="宋体" w:hAnsi="宋体"/>
                <w:b/>
                <w:color w:val="000000" w:themeColor="text1"/>
                <w:sz w:val="20"/>
                <w:szCs w:val="20"/>
              </w:rPr>
            </w:pPr>
          </w:p>
        </w:tc>
      </w:tr>
    </w:tbl>
    <w:p>
      <w:pPr>
        <w:snapToGrid w:val="0"/>
        <w:spacing w:after="93"/>
        <w:jc w:val="center"/>
        <w:rPr>
          <w:rFonts w:ascii="楷体" w:hAnsi="楷体" w:eastAsia="楷体"/>
          <w:b/>
          <w:color w:val="000000" w:themeColor="text1"/>
          <w:sz w:val="28"/>
          <w:szCs w:val="28"/>
        </w:rPr>
      </w:pPr>
    </w:p>
    <w:p>
      <w:pPr>
        <w:ind w:left="-1" w:hanging="707"/>
        <w:rPr>
          <w:rFonts w:ascii="宋体" w:hAnsi="宋体"/>
          <w:b/>
          <w:color w:val="000000" w:themeColor="text1"/>
          <w:sz w:val="16"/>
          <w:szCs w:val="16"/>
        </w:rPr>
      </w:pPr>
      <w:r>
        <w:rPr>
          <w:rFonts w:ascii="宋体" w:hAnsi="宋体"/>
          <w:b/>
          <w:color w:val="000000" w:themeColor="text1"/>
          <w:sz w:val="26"/>
          <w:szCs w:val="26"/>
        </w:rPr>
        <w:t>五、审核活动综述</w:t>
      </w:r>
    </w:p>
    <w:p>
      <w:pPr>
        <w:spacing w:line="360" w:lineRule="auto"/>
        <w:ind w:left="-158" w:hanging="550"/>
        <w:rPr>
          <w:rFonts w:ascii="宋体" w:hAnsi="宋体"/>
          <w:b/>
          <w:color w:val="000000" w:themeColor="text1"/>
          <w:spacing w:val="-4"/>
          <w:sz w:val="16"/>
          <w:szCs w:val="16"/>
        </w:rPr>
      </w:pPr>
      <w:r>
        <w:rPr>
          <w:rFonts w:ascii="宋体" w:hAnsi="宋体"/>
          <w:b/>
          <w:color w:val="000000" w:themeColor="text1"/>
          <w:spacing w:val="-4"/>
          <w:szCs w:val="21"/>
        </w:rPr>
        <w:t>1. 本次审核活动按审核计划执行（见附件1）。</w:t>
      </w:r>
    </w:p>
    <w:p>
      <w:pPr>
        <w:spacing w:line="360" w:lineRule="auto"/>
        <w:ind w:left="-137" w:hanging="571"/>
        <w:rPr>
          <w:rFonts w:ascii="宋体" w:hAnsi="宋体"/>
          <w:b/>
          <w:color w:val="000000" w:themeColor="text1"/>
          <w:szCs w:val="21"/>
        </w:rPr>
      </w:pPr>
      <w:r>
        <w:rPr>
          <w:rFonts w:ascii="宋体" w:hAnsi="宋体"/>
          <w:b/>
          <w:color w:val="000000" w:themeColor="text1"/>
          <w:szCs w:val="21"/>
        </w:rPr>
        <w:t>2.已审核总部的部门、职能或过程：</w:t>
      </w:r>
    </w:p>
    <w:tbl>
      <w:tblPr>
        <w:tblStyle w:val="7"/>
        <w:tblW w:w="9923"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pacing w:val="-2"/>
                <w:sz w:val="20"/>
                <w:szCs w:val="20"/>
              </w:rPr>
            </w:pPr>
            <w:r>
              <w:rPr>
                <w:rFonts w:ascii="宋体" w:hAnsi="宋体"/>
                <w:b/>
                <w:color w:val="000000" w:themeColor="text1"/>
                <w:sz w:val="20"/>
                <w:szCs w:val="20"/>
              </w:rPr>
              <w:t>部门</w:t>
            </w:r>
            <w:r>
              <w:rPr>
                <w:rFonts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ascii="宋体" w:hAnsi="宋体"/>
                <w:b/>
                <w:color w:val="000000" w:themeColor="text1"/>
                <w:sz w:val="20"/>
                <w:szCs w:val="20"/>
              </w:rPr>
              <w:t>职能或过程</w:t>
            </w:r>
            <w:r>
              <w:rPr>
                <w:rFonts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pPr>
              <w:jc w:val="left"/>
              <w:rPr>
                <w:rFonts w:ascii="宋体" w:hAnsi="宋体"/>
                <w:b/>
                <w:color w:val="000000" w:themeColor="text1"/>
                <w:spacing w:val="-20"/>
                <w:szCs w:val="21"/>
                <w:u w:val="single"/>
              </w:rPr>
            </w:pPr>
            <w:r>
              <w:rPr>
                <w:rFonts w:ascii="宋体" w:hAnsi="宋体"/>
                <w:color w:val="000000" w:themeColor="text1"/>
                <w:szCs w:val="21"/>
              </w:rPr>
              <w:t>组织环境、风险和机遇、领导作用、管理评审、资质等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r>
              <w:rPr>
                <w:rFonts w:hint="eastAsia" w:ascii="宋体" w:hAnsi="宋体"/>
                <w:b/>
                <w:color w:val="000000" w:themeColor="text1"/>
                <w:sz w:val="20"/>
                <w:szCs w:val="20"/>
              </w:rPr>
              <w:t>办公室</w:t>
            </w:r>
          </w:p>
        </w:tc>
        <w:tc>
          <w:tcPr>
            <w:tcW w:w="6804" w:type="dxa"/>
          </w:tcPr>
          <w:p>
            <w:pPr>
              <w:jc w:val="left"/>
              <w:rPr>
                <w:rFonts w:ascii="宋体" w:hAnsi="宋体"/>
                <w:b/>
                <w:color w:val="000000" w:themeColor="text1"/>
                <w:spacing w:val="-20"/>
                <w:szCs w:val="21"/>
                <w:u w:val="single"/>
              </w:rPr>
            </w:pPr>
            <w:r>
              <w:rPr>
                <w:rFonts w:ascii="宋体" w:hAnsi="宋体"/>
                <w:color w:val="000000" w:themeColor="text1"/>
                <w:szCs w:val="21"/>
              </w:rPr>
              <w:t>文件、记录、培训、内审、法律法规、合规性评价、危险源识别及运行控制、应急演练等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w:t>
            </w:r>
            <w:r>
              <w:rPr>
                <w:rFonts w:ascii="宋体" w:hAnsi="宋体"/>
                <w:b/>
                <w:color w:val="000000" w:themeColor="text1"/>
                <w:sz w:val="20"/>
                <w:szCs w:val="20"/>
              </w:rPr>
              <w:t>部</w:t>
            </w:r>
          </w:p>
        </w:tc>
        <w:tc>
          <w:tcPr>
            <w:tcW w:w="6804" w:type="dxa"/>
          </w:tcPr>
          <w:p>
            <w:pPr>
              <w:jc w:val="left"/>
              <w:rPr>
                <w:rFonts w:ascii="宋体" w:hAnsi="宋体"/>
                <w:b/>
                <w:color w:val="000000" w:themeColor="text1"/>
                <w:spacing w:val="-20"/>
                <w:szCs w:val="21"/>
                <w:u w:val="single"/>
              </w:rPr>
            </w:pPr>
            <w:r>
              <w:rPr>
                <w:rFonts w:ascii="宋体" w:hAnsi="宋体"/>
                <w:color w:val="000000" w:themeColor="text1"/>
                <w:szCs w:val="21"/>
              </w:rPr>
              <w:t>采购过程、销售过程、产品标识与防护、顾客满意度、相关方施加影响、危险源识别及运行控制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r>
              <w:rPr>
                <w:rFonts w:ascii="宋体" w:hAnsi="宋体"/>
                <w:b/>
                <w:color w:val="000000" w:themeColor="text1"/>
                <w:szCs w:val="21"/>
              </w:rPr>
              <w:t>生产</w:t>
            </w:r>
            <w:r>
              <w:rPr>
                <w:rFonts w:hint="eastAsia" w:ascii="宋体" w:hAnsi="宋体"/>
                <w:b/>
                <w:color w:val="000000" w:themeColor="text1"/>
                <w:szCs w:val="21"/>
              </w:rPr>
              <w:t>技术</w:t>
            </w:r>
            <w:r>
              <w:rPr>
                <w:rFonts w:ascii="宋体" w:hAnsi="宋体"/>
                <w:b/>
                <w:color w:val="000000" w:themeColor="text1"/>
                <w:szCs w:val="21"/>
              </w:rPr>
              <w:t>部</w:t>
            </w:r>
          </w:p>
        </w:tc>
        <w:tc>
          <w:tcPr>
            <w:tcW w:w="6804" w:type="dxa"/>
          </w:tcPr>
          <w:p>
            <w:pPr>
              <w:jc w:val="left"/>
              <w:rPr>
                <w:rFonts w:ascii="宋体" w:hAnsi="宋体"/>
                <w:b/>
                <w:color w:val="000000" w:themeColor="text1"/>
                <w:spacing w:val="-20"/>
                <w:szCs w:val="21"/>
                <w:u w:val="single"/>
              </w:rPr>
            </w:pPr>
            <w:r>
              <w:rPr>
                <w:rFonts w:ascii="宋体" w:hAnsi="宋体"/>
                <w:color w:val="000000" w:themeColor="text1"/>
                <w:szCs w:val="21"/>
              </w:rPr>
              <w:t>生产和服务控制、产品和服务放行、不合格品控制、不合格/事件和纠正措施、危险源识别及运行控制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Cs w:val="21"/>
              </w:rPr>
            </w:pPr>
            <w:r>
              <w:rPr>
                <w:rFonts w:hint="eastAsia" w:ascii="宋体" w:hAnsi="宋体"/>
                <w:b/>
                <w:color w:val="000000" w:themeColor="text1"/>
                <w:szCs w:val="21"/>
              </w:rPr>
              <w:t>质检部</w:t>
            </w:r>
          </w:p>
        </w:tc>
        <w:tc>
          <w:tcPr>
            <w:tcW w:w="6804" w:type="dxa"/>
          </w:tcPr>
          <w:p>
            <w:pPr>
              <w:rPr>
                <w:rFonts w:ascii="宋体" w:hAnsi="宋体"/>
                <w:b/>
                <w:color w:val="000000" w:themeColor="text1"/>
                <w:spacing w:val="-20"/>
                <w:szCs w:val="21"/>
                <w:u w:val="single"/>
              </w:rPr>
            </w:pPr>
          </w:p>
        </w:tc>
      </w:tr>
    </w:tbl>
    <w:p>
      <w:pPr>
        <w:ind w:left="-137" w:hanging="571"/>
        <w:rPr>
          <w:rFonts w:ascii="宋体" w:hAnsi="宋体"/>
          <w:b/>
          <w:color w:val="000000" w:themeColor="text1"/>
          <w:szCs w:val="21"/>
        </w:rPr>
      </w:pPr>
      <w:r>
        <w:rPr>
          <w:b/>
          <w:color w:val="000000" w:themeColor="text1"/>
          <w:szCs w:val="21"/>
        </w:rPr>
        <w:t xml:space="preserve">3. </w:t>
      </w:r>
      <w:r>
        <w:rPr>
          <w:rFonts w:ascii="宋体" w:hAnsi="宋体"/>
          <w:b/>
          <w:color w:val="000000" w:themeColor="text1"/>
          <w:szCs w:val="21"/>
        </w:rPr>
        <w:t>已审核的分场所（分中心、分部或不在一起的部门）、临时/流动场所信息</w:t>
      </w:r>
    </w:p>
    <w:p>
      <w:pPr>
        <w:ind w:left="-273" w:hanging="435"/>
        <w:rPr>
          <w:b/>
          <w:color w:val="000000" w:themeColor="text1"/>
          <w:sz w:val="16"/>
          <w:szCs w:val="16"/>
        </w:rPr>
      </w:pPr>
    </w:p>
    <w:tbl>
      <w:tblPr>
        <w:tblStyle w:val="7"/>
        <w:tblW w:w="9923"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3249"/>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pacing w:val="-2"/>
                <w:sz w:val="20"/>
                <w:szCs w:val="20"/>
              </w:rPr>
            </w:pPr>
            <w:r>
              <w:rPr>
                <w:rFonts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ascii="宋体" w:hAnsi="宋体"/>
                <w:b/>
                <w:color w:val="000000" w:themeColor="text1"/>
                <w:sz w:val="20"/>
                <w:szCs w:val="20"/>
              </w:rPr>
              <w:t>职能或过程</w:t>
            </w:r>
            <w:r>
              <w:rPr>
                <w:rFonts w:ascii="宋体" w:hAnsi="宋体"/>
                <w:b/>
                <w:color w:val="000000" w:themeColor="text1"/>
                <w:spacing w:val="-2"/>
                <w:sz w:val="20"/>
                <w:szCs w:val="20"/>
              </w:rPr>
              <w:t>:</w:t>
            </w:r>
          </w:p>
        </w:tc>
        <w:tc>
          <w:tcPr>
            <w:tcW w:w="3556" w:type="dxa"/>
          </w:tcPr>
          <w:p>
            <w:pPr>
              <w:jc w:val="center"/>
              <w:rPr>
                <w:rFonts w:ascii="宋体" w:hAnsi="宋体"/>
                <w:b/>
                <w:color w:val="000000" w:themeColor="text1"/>
                <w:sz w:val="20"/>
                <w:szCs w:val="20"/>
              </w:rPr>
            </w:pPr>
            <w:r>
              <w:rPr>
                <w:rFonts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pPr>
              <w:jc w:val="center"/>
              <w:rPr>
                <w:rFonts w:ascii="宋体" w:hAnsi="宋体"/>
                <w:b/>
                <w:color w:val="000000" w:themeColor="text1"/>
                <w:spacing w:val="-20"/>
                <w:sz w:val="20"/>
                <w:szCs w:val="20"/>
                <w:u w:val="single"/>
              </w:rPr>
            </w:pPr>
          </w:p>
        </w:tc>
        <w:tc>
          <w:tcPr>
            <w:tcW w:w="3556"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6"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6" w:type="dxa"/>
          </w:tcPr>
          <w:p>
            <w:pPr>
              <w:jc w:val="center"/>
              <w:rPr>
                <w:rFonts w:ascii="宋体" w:hAnsi="宋体"/>
                <w:b/>
                <w:color w:val="000000" w:themeColor="text1"/>
                <w:spacing w:val="-20"/>
                <w:sz w:val="20"/>
                <w:szCs w:val="20"/>
                <w:u w:val="single"/>
              </w:rPr>
            </w:pPr>
          </w:p>
        </w:tc>
      </w:tr>
    </w:tbl>
    <w:p>
      <w:pPr>
        <w:ind w:left="-169" w:hanging="539"/>
        <w:rPr>
          <w:b/>
          <w:color w:val="000000" w:themeColor="text1"/>
          <w:spacing w:val="-6"/>
          <w:szCs w:val="21"/>
        </w:rPr>
      </w:pPr>
      <w:r>
        <w:rPr>
          <w:b/>
          <w:color w:val="000000" w:themeColor="text1"/>
          <w:spacing w:val="-6"/>
          <w:szCs w:val="21"/>
        </w:rPr>
        <w:t>4. 已审核具体的产品/服务/型号/类型/系列和过程（设计/生产┄┄）是</w:t>
      </w:r>
    </w:p>
    <w:p>
      <w:pPr>
        <w:ind w:left="-169" w:hanging="539"/>
        <w:rPr>
          <w:b/>
          <w:color w:val="000000" w:themeColor="text1"/>
          <w:spacing w:val="-6"/>
          <w:szCs w:val="21"/>
        </w:rPr>
      </w:pPr>
    </w:p>
    <w:p>
      <w:pPr>
        <w:ind w:left="-137" w:hanging="571"/>
        <w:rPr>
          <w:b/>
          <w:color w:val="000000" w:themeColor="text1"/>
          <w:szCs w:val="21"/>
          <w:u w:val="single"/>
        </w:rPr>
      </w:pPr>
    </w:p>
    <w:tbl>
      <w:tblPr>
        <w:tblStyle w:val="7"/>
        <w:tblW w:w="10184"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556"/>
        <w:gridCol w:w="1869"/>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63" w:type="dxa"/>
          </w:tcPr>
          <w:p>
            <w:pPr>
              <w:rPr>
                <w:b/>
                <w:color w:val="000000" w:themeColor="text1"/>
                <w:sz w:val="20"/>
                <w:szCs w:val="20"/>
              </w:rPr>
            </w:pPr>
            <w:r>
              <w:rPr>
                <w:b/>
                <w:color w:val="000000" w:themeColor="text1"/>
                <w:sz w:val="20"/>
                <w:szCs w:val="20"/>
              </w:rPr>
              <w:t>产品名称/</w:t>
            </w:r>
          </w:p>
          <w:p>
            <w:pPr>
              <w:rPr>
                <w:b/>
                <w:color w:val="000000" w:themeColor="text1"/>
                <w:sz w:val="20"/>
                <w:szCs w:val="20"/>
              </w:rPr>
            </w:pPr>
            <w:r>
              <w:rPr>
                <w:b/>
                <w:color w:val="000000" w:themeColor="text1"/>
                <w:sz w:val="20"/>
                <w:szCs w:val="20"/>
              </w:rPr>
              <w:t>服务名称</w:t>
            </w:r>
          </w:p>
        </w:tc>
        <w:tc>
          <w:tcPr>
            <w:tcW w:w="2556" w:type="dxa"/>
          </w:tcPr>
          <w:p>
            <w:pPr>
              <w:rPr>
                <w:b/>
                <w:color w:val="000000" w:themeColor="text1"/>
                <w:sz w:val="20"/>
                <w:szCs w:val="20"/>
              </w:rPr>
            </w:pPr>
            <w:r>
              <w:rPr>
                <w:b/>
                <w:color w:val="000000" w:themeColor="text1"/>
                <w:sz w:val="20"/>
                <w:szCs w:val="20"/>
              </w:rPr>
              <w:t>型号/</w:t>
            </w:r>
          </w:p>
          <w:p>
            <w:pPr>
              <w:rPr>
                <w:b/>
                <w:color w:val="000000" w:themeColor="text1"/>
                <w:sz w:val="20"/>
                <w:szCs w:val="20"/>
              </w:rPr>
            </w:pPr>
            <w:r>
              <w:rPr>
                <w:b/>
                <w:color w:val="000000" w:themeColor="text1"/>
                <w:sz w:val="20"/>
                <w:szCs w:val="20"/>
              </w:rPr>
              <w:t>服务类型</w:t>
            </w:r>
          </w:p>
        </w:tc>
        <w:tc>
          <w:tcPr>
            <w:tcW w:w="1869" w:type="dxa"/>
          </w:tcPr>
          <w:p>
            <w:pPr>
              <w:rPr>
                <w:b/>
                <w:color w:val="000000" w:themeColor="text1"/>
                <w:sz w:val="20"/>
                <w:szCs w:val="20"/>
              </w:rPr>
            </w:pPr>
            <w:r>
              <w:rPr>
                <w:b/>
                <w:color w:val="000000" w:themeColor="text1"/>
                <w:sz w:val="20"/>
                <w:szCs w:val="20"/>
              </w:rPr>
              <w:t>规格</w:t>
            </w:r>
          </w:p>
        </w:tc>
        <w:tc>
          <w:tcPr>
            <w:tcW w:w="3596" w:type="dxa"/>
          </w:tcPr>
          <w:p>
            <w:pPr>
              <w:rPr>
                <w:b/>
                <w:color w:val="000000" w:themeColor="text1"/>
                <w:sz w:val="20"/>
                <w:szCs w:val="20"/>
              </w:rPr>
            </w:pPr>
            <w:r>
              <w:rPr>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3" w:type="dxa"/>
          </w:tcPr>
          <w:p>
            <w:pPr>
              <w:rPr>
                <w:b/>
                <w:color w:val="000000" w:themeColor="text1"/>
                <w:sz w:val="20"/>
                <w:szCs w:val="20"/>
              </w:rPr>
            </w:pPr>
            <w:r>
              <w:rPr>
                <w:sz w:val="20"/>
                <w:szCs w:val="20"/>
              </w:rPr>
              <w:t>防火卷帘门、防火门和挡烟垂壁的研发、生产</w:t>
            </w:r>
          </w:p>
        </w:tc>
        <w:tc>
          <w:tcPr>
            <w:tcW w:w="2556" w:type="dxa"/>
          </w:tcPr>
          <w:p>
            <w:pPr>
              <w:rPr>
                <w:b/>
                <w:color w:val="000000" w:themeColor="text1"/>
                <w:sz w:val="20"/>
                <w:szCs w:val="20"/>
              </w:rPr>
            </w:pPr>
            <w:r>
              <w:rPr>
                <w:b/>
                <w:color w:val="000000" w:themeColor="text1"/>
                <w:sz w:val="20"/>
                <w:szCs w:val="20"/>
              </w:rPr>
              <w:t>/</w:t>
            </w:r>
          </w:p>
        </w:tc>
        <w:tc>
          <w:tcPr>
            <w:tcW w:w="1869" w:type="dxa"/>
          </w:tcPr>
          <w:p>
            <w:pPr>
              <w:rPr>
                <w:b/>
                <w:color w:val="000000" w:themeColor="text1"/>
                <w:sz w:val="20"/>
                <w:szCs w:val="20"/>
              </w:rPr>
            </w:pPr>
            <w:r>
              <w:rPr>
                <w:b/>
                <w:color w:val="000000" w:themeColor="text1"/>
                <w:sz w:val="20"/>
                <w:szCs w:val="20"/>
              </w:rPr>
              <w:t>/</w:t>
            </w:r>
          </w:p>
        </w:tc>
        <w:tc>
          <w:tcPr>
            <w:tcW w:w="3596" w:type="dxa"/>
          </w:tcPr>
          <w:p>
            <w:pPr>
              <w:snapToGrid w:val="0"/>
              <w:spacing w:line="280" w:lineRule="exact"/>
              <w:jc w:val="left"/>
              <w:rPr>
                <w:sz w:val="20"/>
              </w:rPr>
            </w:pPr>
            <w:r>
              <w:rPr>
                <w:rFonts w:hint="eastAsia"/>
                <w:sz w:val="20"/>
              </w:rPr>
              <w:t>防火卷帘：GB14102-2005</w:t>
            </w:r>
          </w:p>
          <w:p>
            <w:pPr>
              <w:snapToGrid w:val="0"/>
              <w:spacing w:line="280" w:lineRule="exact"/>
              <w:jc w:val="left"/>
              <w:rPr>
                <w:sz w:val="20"/>
              </w:rPr>
            </w:pPr>
            <w:r>
              <w:rPr>
                <w:rFonts w:hint="eastAsia"/>
                <w:sz w:val="20"/>
              </w:rPr>
              <w:t>防 火 门：GB12955-2008</w:t>
            </w:r>
          </w:p>
          <w:p>
            <w:pPr>
              <w:rPr>
                <w:b/>
                <w:color w:val="000000" w:themeColor="text1"/>
                <w:sz w:val="20"/>
                <w:szCs w:val="20"/>
              </w:rPr>
            </w:pPr>
            <w:r>
              <w:rPr>
                <w:rFonts w:hint="eastAsia"/>
                <w:sz w:val="20"/>
              </w:rPr>
              <w:t>挡烟垂壁：GA533-2012</w:t>
            </w:r>
          </w:p>
        </w:tc>
      </w:tr>
    </w:tbl>
    <w:p>
      <w:pPr>
        <w:spacing w:line="360" w:lineRule="auto"/>
        <w:ind w:left="-137" w:hanging="571"/>
        <w:rPr>
          <w:b/>
          <w:color w:val="000000" w:themeColor="text1"/>
          <w:szCs w:val="21"/>
        </w:rPr>
      </w:pPr>
      <w:r>
        <w:rPr>
          <w:b/>
          <w:color w:val="000000" w:themeColor="text1"/>
          <w:szCs w:val="21"/>
        </w:rPr>
        <w:t>5. 本次审核覆盖时期：</w:t>
      </w:r>
    </w:p>
    <w:p>
      <w:pPr>
        <w:spacing w:line="360" w:lineRule="auto"/>
        <w:ind w:left="-191" w:hanging="517"/>
        <w:rPr>
          <w:b/>
          <w:color w:val="000000" w:themeColor="text1"/>
          <w:spacing w:val="-10"/>
          <w:szCs w:val="21"/>
        </w:rPr>
      </w:pPr>
      <w:r>
        <w:rPr>
          <w:rFonts w:ascii="MS Mincho" w:hAnsi="MS Mincho" w:eastAsia="MS Mincho" w:cs="MS Mincho"/>
          <w:b/>
          <w:color w:val="000000" w:themeColor="text1"/>
          <w:spacing w:val="-10"/>
          <w:szCs w:val="21"/>
        </w:rPr>
        <w:t>☑</w:t>
      </w:r>
      <w:r>
        <w:rPr>
          <w:b/>
          <w:color w:val="000000" w:themeColor="text1"/>
          <w:spacing w:val="-10"/>
          <w:szCs w:val="21"/>
        </w:rPr>
        <w:t>体系运行时间</w:t>
      </w:r>
      <w:r>
        <w:rPr>
          <w:b/>
          <w:color w:val="000000" w:themeColor="text1"/>
          <w:spacing w:val="-10"/>
          <w:szCs w:val="21"/>
          <w:u w:val="single"/>
        </w:rPr>
        <w:t xml:space="preserve">   2021  </w:t>
      </w:r>
      <w:r>
        <w:rPr>
          <w:b/>
          <w:color w:val="000000" w:themeColor="text1"/>
          <w:spacing w:val="-10"/>
          <w:szCs w:val="21"/>
        </w:rPr>
        <w:t>年</w:t>
      </w:r>
      <w:r>
        <w:rPr>
          <w:b/>
          <w:color w:val="000000" w:themeColor="text1"/>
          <w:spacing w:val="-10"/>
          <w:szCs w:val="21"/>
          <w:u w:val="single"/>
        </w:rPr>
        <w:t xml:space="preserve">  1  </w:t>
      </w:r>
      <w:r>
        <w:rPr>
          <w:b/>
          <w:color w:val="000000" w:themeColor="text1"/>
          <w:spacing w:val="-10"/>
          <w:szCs w:val="21"/>
        </w:rPr>
        <w:t>月</w:t>
      </w:r>
      <w:bookmarkStart w:id="14" w:name="OLE_LINK1"/>
      <w:r>
        <w:rPr>
          <w:b/>
          <w:color w:val="000000" w:themeColor="text1"/>
          <w:spacing w:val="-10"/>
          <w:szCs w:val="21"/>
        </w:rPr>
        <w:t xml:space="preserve"> </w:t>
      </w:r>
      <w:r>
        <w:rPr>
          <w:b/>
          <w:color w:val="000000" w:themeColor="text1"/>
          <w:spacing w:val="-10"/>
          <w:szCs w:val="21"/>
          <w:u w:val="single"/>
        </w:rPr>
        <w:t xml:space="preserve"> 10  </w:t>
      </w:r>
      <w:r>
        <w:rPr>
          <w:b/>
          <w:color w:val="000000" w:themeColor="text1"/>
          <w:spacing w:val="-10"/>
          <w:szCs w:val="21"/>
        </w:rPr>
        <w:t>日</w:t>
      </w:r>
      <w:bookmarkEnd w:id="14"/>
      <w:r>
        <w:rPr>
          <w:b/>
          <w:color w:val="000000" w:themeColor="text1"/>
          <w:spacing w:val="-10"/>
          <w:szCs w:val="21"/>
        </w:rPr>
        <w:t>至</w:t>
      </w:r>
      <w:r>
        <w:rPr>
          <w:b/>
          <w:color w:val="000000" w:themeColor="text1"/>
          <w:spacing w:val="-10"/>
          <w:szCs w:val="21"/>
          <w:u w:val="single"/>
        </w:rPr>
        <w:t xml:space="preserve">  2021   </w:t>
      </w:r>
      <w:r>
        <w:rPr>
          <w:b/>
          <w:color w:val="000000" w:themeColor="text1"/>
          <w:spacing w:val="-10"/>
          <w:szCs w:val="21"/>
        </w:rPr>
        <w:t>年</w:t>
      </w:r>
      <w:r>
        <w:rPr>
          <w:b/>
          <w:color w:val="000000" w:themeColor="text1"/>
          <w:spacing w:val="-10"/>
          <w:szCs w:val="21"/>
          <w:u w:val="single"/>
        </w:rPr>
        <w:t xml:space="preserve">  7  </w:t>
      </w:r>
      <w:r>
        <w:rPr>
          <w:b/>
          <w:color w:val="000000" w:themeColor="text1"/>
          <w:spacing w:val="-10"/>
          <w:szCs w:val="21"/>
        </w:rPr>
        <w:t>月</w:t>
      </w:r>
      <w:r>
        <w:rPr>
          <w:b/>
          <w:color w:val="000000" w:themeColor="text1"/>
          <w:spacing w:val="-10"/>
          <w:szCs w:val="21"/>
          <w:u w:val="single"/>
        </w:rPr>
        <w:t xml:space="preserve">  15  </w:t>
      </w:r>
      <w:r>
        <w:rPr>
          <w:b/>
          <w:color w:val="000000" w:themeColor="text1"/>
          <w:spacing w:val="-10"/>
          <w:szCs w:val="21"/>
        </w:rPr>
        <w:t>日。</w:t>
      </w:r>
    </w:p>
    <w:p>
      <w:pPr>
        <w:spacing w:line="360" w:lineRule="auto"/>
        <w:ind w:left="-191" w:hanging="517"/>
        <w:rPr>
          <w:b/>
          <w:color w:val="000000" w:themeColor="text1"/>
          <w:spacing w:val="-10"/>
          <w:szCs w:val="21"/>
          <w:u w:val="single"/>
        </w:rPr>
      </w:pPr>
      <w:r>
        <w:rPr>
          <w:b/>
          <w:color w:val="000000" w:themeColor="text1"/>
          <w:spacing w:val="-10"/>
          <w:szCs w:val="21"/>
        </w:rPr>
        <w:t>□上次审核时间年月日至年月日（再认证填写）</w:t>
      </w:r>
    </w:p>
    <w:p>
      <w:pPr>
        <w:spacing w:line="360" w:lineRule="auto"/>
        <w:ind w:left="-191" w:hanging="517"/>
        <w:rPr>
          <w:b/>
          <w:color w:val="000000" w:themeColor="text1"/>
          <w:spacing w:val="-10"/>
          <w:szCs w:val="21"/>
        </w:rPr>
      </w:pPr>
      <w:r>
        <w:rPr>
          <w:b/>
          <w:color w:val="000000" w:themeColor="text1"/>
          <w:spacing w:val="-10"/>
          <w:szCs w:val="21"/>
        </w:rPr>
        <w:t>6. 完成情况说明:</w:t>
      </w:r>
    </w:p>
    <w:p>
      <w:pPr>
        <w:spacing w:line="360" w:lineRule="auto"/>
        <w:ind w:left="-191" w:hanging="517"/>
        <w:rPr>
          <w:b/>
          <w:color w:val="000000" w:themeColor="text1"/>
          <w:spacing w:val="-10"/>
          <w:szCs w:val="21"/>
        </w:rPr>
      </w:pPr>
      <w:r>
        <w:rPr>
          <w:rFonts w:ascii="MS Mincho" w:hAnsi="MS Mincho" w:eastAsia="MS Mincho" w:cs="MS Mincho"/>
          <w:b/>
          <w:color w:val="000000" w:themeColor="text1"/>
          <w:spacing w:val="-10"/>
          <w:szCs w:val="21"/>
        </w:rPr>
        <w:t>☑</w:t>
      </w:r>
      <w:r>
        <w:rPr>
          <w:rFonts w:ascii="宋体" w:hAnsi="宋体"/>
          <w:b/>
          <w:color w:val="000000" w:themeColor="text1"/>
          <w:szCs w:val="21"/>
        </w:rPr>
        <w:t>已完成审核计划的全部工作</w:t>
      </w:r>
    </w:p>
    <w:p>
      <w:pPr>
        <w:spacing w:line="360" w:lineRule="auto"/>
        <w:ind w:left="-191" w:hanging="517"/>
        <w:rPr>
          <w:b/>
          <w:color w:val="000000" w:themeColor="text1"/>
          <w:spacing w:val="-10"/>
          <w:w w:val="90"/>
          <w:szCs w:val="21"/>
        </w:rPr>
      </w:pPr>
      <w:r>
        <w:rPr>
          <w:b/>
          <w:color w:val="000000" w:themeColor="text1"/>
          <w:spacing w:val="-10"/>
          <w:szCs w:val="21"/>
        </w:rPr>
        <w:t>□</w:t>
      </w:r>
      <w:r>
        <w:rPr>
          <w:rFonts w:ascii="宋体" w:hAnsi="宋体"/>
          <w:b/>
          <w:color w:val="000000" w:themeColor="text1"/>
          <w:szCs w:val="21"/>
        </w:rPr>
        <w:t>计划有修改，但不会影响审核结论，修改的内容和原因是</w:t>
      </w:r>
    </w:p>
    <w:p>
      <w:pPr>
        <w:spacing w:line="360" w:lineRule="auto"/>
        <w:ind w:left="-191" w:hanging="517"/>
        <w:rPr>
          <w:b/>
          <w:color w:val="000000" w:themeColor="text1"/>
          <w:spacing w:val="-10"/>
          <w:szCs w:val="21"/>
        </w:rPr>
      </w:pPr>
      <w:r>
        <w:rPr>
          <w:b/>
          <w:color w:val="000000" w:themeColor="text1"/>
          <w:spacing w:val="-10"/>
          <w:szCs w:val="21"/>
        </w:rPr>
        <w:t>□</w:t>
      </w:r>
      <w:r>
        <w:rPr>
          <w:rFonts w:ascii="宋体" w:hAnsi="宋体"/>
          <w:b/>
          <w:color w:val="000000" w:themeColor="text1"/>
          <w:szCs w:val="21"/>
        </w:rPr>
        <w:t>未完成计划，未完成的内容和原因是:</w:t>
      </w:r>
    </w:p>
    <w:p>
      <w:pPr>
        <w:spacing w:before="312" w:line="320" w:lineRule="exact"/>
        <w:ind w:left="-1" w:hanging="707"/>
        <w:rPr>
          <w:b/>
          <w:color w:val="000000" w:themeColor="text1"/>
          <w:sz w:val="16"/>
          <w:szCs w:val="16"/>
        </w:rPr>
      </w:pPr>
      <w:r>
        <w:rPr>
          <w:rFonts w:ascii="宋体" w:hAnsi="宋体"/>
          <w:b/>
          <w:color w:val="000000" w:themeColor="text1"/>
          <w:sz w:val="26"/>
          <w:szCs w:val="26"/>
        </w:rPr>
        <w:t>六、审核发现及审核证据说明</w:t>
      </w:r>
    </w:p>
    <w:tbl>
      <w:tblPr>
        <w:tblStyle w:val="6"/>
        <w:tblW w:w="9918" w:type="dxa"/>
        <w:jc w:val="center"/>
        <w:tblLayout w:type="fixed"/>
        <w:tblCellMar>
          <w:top w:w="0" w:type="dxa"/>
          <w:left w:w="108" w:type="dxa"/>
          <w:bottom w:w="0" w:type="dxa"/>
          <w:right w:w="108" w:type="dxa"/>
        </w:tblCellMar>
      </w:tblPr>
      <w:tblGrid>
        <w:gridCol w:w="720"/>
        <w:gridCol w:w="9198"/>
      </w:tblGrid>
      <w:tr>
        <w:tblPrEx>
          <w:tblCellMar>
            <w:top w:w="0" w:type="dxa"/>
            <w:left w:w="108" w:type="dxa"/>
            <w:bottom w:w="0" w:type="dxa"/>
            <w:right w:w="108" w:type="dxa"/>
          </w:tblCellMar>
        </w:tblPrEx>
        <w:trPr>
          <w:cantSplit/>
          <w:trHeight w:val="9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201" w:right="113" w:hanging="201"/>
              <w:jc w:val="center"/>
              <w:rPr>
                <w:rFonts w:ascii="宋体" w:hAnsi="宋体"/>
                <w:b/>
                <w:color w:val="000000" w:themeColor="text1"/>
                <w:sz w:val="20"/>
                <w:szCs w:val="20"/>
              </w:rPr>
            </w:pPr>
            <w:r>
              <w:rPr>
                <w:rFonts w:ascii="宋体" w:hAnsi="宋体"/>
                <w:b/>
                <w:color w:val="000000" w:themeColor="text1"/>
                <w:sz w:val="20"/>
                <w:szCs w:val="20"/>
              </w:rPr>
              <w:t>(一)策划的充分与合理性</w:t>
            </w: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1、组织及其环境的识别情况</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总经理确定与公司管理目标和战略方向相关并影响实现管理体系预期结果的各种内部因素和外部因素。这些因素包括了需要考虑的正面和负面因素或条件。</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办公室根据公司销售等外出人员从市场、客户、网络等搜集到的信息并结合自身业务运作情况进行分析，通过分析对这些内部和外部因素的相关信息进行监视和评审以确保其充分和适宜。</w:t>
            </w:r>
          </w:p>
          <w:p>
            <w:pPr>
              <w:spacing w:line="240" w:lineRule="exact"/>
              <w:ind w:firstLine="420" w:firstLineChars="200"/>
              <w:rPr>
                <w:rFonts w:ascii="宋体" w:hAnsi="宋体" w:cs="宋体"/>
                <w:color w:val="000000" w:themeColor="text1"/>
                <w:szCs w:val="21"/>
              </w:rPr>
            </w:pPr>
            <w:r>
              <w:rPr>
                <w:rFonts w:ascii="宋体" w:hAnsi="宋体" w:cs="宋体"/>
                <w:color w:val="000000" w:themeColor="text1"/>
                <w:szCs w:val="21"/>
              </w:rPr>
              <w:t>内外部环境、相关方的需求，其对政策、法规、经济、行业趋势等信息通过行业协会、社会关系、政府网站等渠道获得，包括客户以及其他相关方的要求进行了识别；</w:t>
            </w:r>
          </w:p>
          <w:p>
            <w:pPr>
              <w:spacing w:line="240" w:lineRule="exact"/>
              <w:ind w:firstLine="420" w:firstLineChars="200"/>
              <w:rPr>
                <w:b/>
                <w:color w:val="000000" w:themeColor="text1"/>
                <w:sz w:val="20"/>
                <w:szCs w:val="20"/>
              </w:rPr>
            </w:pPr>
            <w:r>
              <w:rPr>
                <w:rFonts w:ascii="宋体" w:hAnsi="宋体" w:cs="宋体"/>
                <w:color w:val="000000" w:themeColor="text1"/>
                <w:szCs w:val="21"/>
              </w:rPr>
              <w:t>通过</w:t>
            </w:r>
            <w:r>
              <w:rPr>
                <w:rFonts w:hint="eastAsia" w:ascii="宋体" w:hAnsi="宋体" w:cs="宋体"/>
                <w:color w:val="000000" w:themeColor="text1"/>
                <w:szCs w:val="21"/>
              </w:rPr>
              <w:t>管理体系运行</w:t>
            </w:r>
            <w:r>
              <w:rPr>
                <w:rFonts w:ascii="宋体" w:hAnsi="宋体" w:cs="宋体"/>
                <w:color w:val="000000" w:themeColor="text1"/>
                <w:szCs w:val="21"/>
              </w:rPr>
              <w:t>，最高管理者和管理层增加了风险意识，分析了公司所处的内外部环境，面临的风险和机遇，并制定应对风险和机遇的措施，由各分管部门进行落实。</w:t>
            </w:r>
          </w:p>
        </w:tc>
      </w:tr>
      <w:tr>
        <w:tblPrEx>
          <w:tblCellMar>
            <w:top w:w="0" w:type="dxa"/>
            <w:left w:w="108" w:type="dxa"/>
            <w:bottom w:w="0" w:type="dxa"/>
            <w:right w:w="108" w:type="dxa"/>
          </w:tblCellMar>
        </w:tblPrEx>
        <w:trPr>
          <w:cantSplit/>
          <w:trHeight w:val="110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2、相关方需求和期望识别情况</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公司理解相关方的需求和期望，建立了管理方针和目标，并分解落实，以满足相关方的要求并争取做到更高的期望值；</w:t>
            </w:r>
          </w:p>
          <w:p>
            <w:pPr>
              <w:spacing w:line="240" w:lineRule="exact"/>
              <w:ind w:firstLine="420" w:firstLineChars="200"/>
              <w:rPr>
                <w:b/>
                <w:color w:val="000000" w:themeColor="text1"/>
                <w:sz w:val="20"/>
                <w:szCs w:val="20"/>
              </w:rPr>
            </w:pPr>
            <w:r>
              <w:rPr>
                <w:rFonts w:hint="eastAsia" w:ascii="宋体" w:hAnsi="宋体" w:cs="宋体"/>
                <w:color w:val="000000" w:themeColor="text1"/>
                <w:szCs w:val="21"/>
              </w:rPr>
              <w:t>公司确定了与管理体系有关的相关方，特别是关注外部供方和顾客，这些相关方的要求；公司对这些相关方及其要求的相关信息进行监视和评审。</w:t>
            </w:r>
          </w:p>
        </w:tc>
      </w:tr>
      <w:tr>
        <w:tblPrEx>
          <w:tblCellMar>
            <w:top w:w="0" w:type="dxa"/>
            <w:left w:w="108" w:type="dxa"/>
            <w:bottom w:w="0" w:type="dxa"/>
            <w:right w:w="108" w:type="dxa"/>
          </w:tblCellMar>
        </w:tblPrEx>
        <w:trPr>
          <w:cantSplit/>
          <w:trHeight w:val="163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ascii="MS Mincho" w:hAnsi="MS Mincho" w:eastAsia="MS Mincho" w:cs="MS Mincho"/>
                <w:b/>
                <w:color w:val="000000" w:themeColor="text1"/>
                <w:spacing w:val="-10"/>
                <w:sz w:val="20"/>
                <w:szCs w:val="20"/>
              </w:rPr>
              <w:t xml:space="preserve"> ☑</w:t>
            </w:r>
            <w:r>
              <w:rPr>
                <w:rFonts w:ascii="宋体" w:hAnsi="宋体"/>
                <w:b/>
                <w:color w:val="000000" w:themeColor="text1"/>
                <w:sz w:val="20"/>
                <w:szCs w:val="20"/>
              </w:rPr>
              <w:t>质量/</w:t>
            </w:r>
            <w:r>
              <w:rPr>
                <w:rFonts w:hint="eastAsia"/>
                <w:sz w:val="20"/>
              </w:rPr>
              <w:t>□</w:t>
            </w:r>
            <w:r>
              <w:rPr>
                <w:rFonts w:ascii="宋体" w:hAnsi="宋体"/>
                <w:b/>
                <w:color w:val="000000" w:themeColor="text1"/>
                <w:sz w:val="20"/>
                <w:szCs w:val="20"/>
              </w:rPr>
              <w:t>环境/</w:t>
            </w:r>
            <w:r>
              <w:rPr>
                <w:rFonts w:ascii="MS Mincho" w:hAnsi="MS Mincho" w:eastAsia="MS Mincho" w:cs="MS Mincho"/>
                <w:b/>
                <w:color w:val="000000" w:themeColor="text1"/>
                <w:spacing w:val="-10"/>
                <w:sz w:val="20"/>
                <w:szCs w:val="20"/>
              </w:rPr>
              <w:t>☑</w:t>
            </w:r>
            <w:r>
              <w:rPr>
                <w:rFonts w:ascii="宋体" w:hAnsi="宋体"/>
                <w:b/>
                <w:color w:val="000000" w:themeColor="text1"/>
                <w:sz w:val="20"/>
                <w:szCs w:val="20"/>
              </w:rPr>
              <w:t>职业健康安全方针（组织</w:t>
            </w:r>
            <w:r>
              <w:rPr>
                <w:b/>
                <w:color w:val="000000" w:themeColor="text1"/>
                <w:sz w:val="20"/>
                <w:szCs w:val="20"/>
              </w:rPr>
              <w:t>方针</w:t>
            </w:r>
            <w:r>
              <w:rPr>
                <w:rFonts w:ascii="宋体" w:hAnsi="宋体"/>
                <w:b/>
                <w:color w:val="000000" w:themeColor="text1"/>
                <w:sz w:val="20"/>
                <w:szCs w:val="20"/>
              </w:rPr>
              <w:t>的适宜性/持续适宜性、方针的传达及职工的理解等）</w:t>
            </w:r>
          </w:p>
          <w:p>
            <w:pPr>
              <w:ind w:firstLine="420"/>
              <w:rPr>
                <w:rFonts w:cs="宋体" w:asciiTheme="minorEastAsia" w:hAnsiTheme="minorEastAsia" w:eastAsiaTheme="minorEastAsia"/>
                <w:szCs w:val="21"/>
              </w:rPr>
            </w:pPr>
            <w:r>
              <w:rPr>
                <w:rFonts w:cs="宋体" w:asciiTheme="minorEastAsia" w:hAnsiTheme="minorEastAsia"/>
                <w:szCs w:val="21"/>
              </w:rPr>
              <w:t>质量方针：质量第一、客户至上；诚信经营，持续改进；</w:t>
            </w:r>
          </w:p>
          <w:p>
            <w:pPr>
              <w:spacing w:line="280" w:lineRule="exact"/>
              <w:ind w:firstLine="420"/>
              <w:rPr>
                <w:rFonts w:cs="宋体" w:asciiTheme="minorEastAsia" w:hAnsiTheme="minorEastAsia" w:eastAsiaTheme="minorEastAsia"/>
                <w:szCs w:val="21"/>
              </w:rPr>
            </w:pPr>
            <w:r>
              <w:rPr>
                <w:rFonts w:cs="宋体" w:asciiTheme="minorEastAsia" w:hAnsiTheme="minorEastAsia"/>
                <w:szCs w:val="21"/>
              </w:rPr>
              <w:t>职业健康安全方针：</w:t>
            </w:r>
            <w:r>
              <w:rPr>
                <w:szCs w:val="21"/>
              </w:rPr>
              <w:t>安全生产、健康工作、追求卓越、营造和谐</w:t>
            </w:r>
            <w:r>
              <w:rPr>
                <w:rFonts w:cs="宋体" w:asciiTheme="minorEastAsia" w:hAnsiTheme="minorEastAsia"/>
                <w:szCs w:val="21"/>
              </w:rPr>
              <w:t>。</w:t>
            </w:r>
          </w:p>
          <w:p>
            <w:pPr>
              <w:spacing w:line="240" w:lineRule="exact"/>
              <w:ind w:left="199" w:firstLine="210"/>
              <w:rPr>
                <w:b/>
                <w:color w:val="000000" w:themeColor="text1"/>
              </w:rPr>
            </w:pPr>
            <w:r>
              <w:rPr>
                <w:rFonts w:ascii="宋体" w:hAnsi="宋体"/>
                <w:color w:val="000000" w:themeColor="text1"/>
                <w:szCs w:val="21"/>
              </w:rPr>
              <w:t>管理方针通过文件、</w:t>
            </w:r>
            <w:r>
              <w:rPr>
                <w:rFonts w:hint="eastAsia" w:ascii="宋体" w:hAnsi="宋体"/>
                <w:color w:val="000000" w:themeColor="text1"/>
                <w:szCs w:val="21"/>
              </w:rPr>
              <w:t>公告栏、</w:t>
            </w:r>
            <w:r>
              <w:rPr>
                <w:rFonts w:ascii="宋体" w:hAnsi="宋体"/>
                <w:color w:val="000000" w:themeColor="text1"/>
                <w:szCs w:val="21"/>
              </w:rPr>
              <w:t>培训等形式将公司管理方针传达给所有为公司工作或代表公司的人员管理评审时进行了评审，方针适宜。</w:t>
            </w:r>
          </w:p>
        </w:tc>
      </w:tr>
      <w:tr>
        <w:tblPrEx>
          <w:tblCellMar>
            <w:top w:w="0" w:type="dxa"/>
            <w:left w:w="108" w:type="dxa"/>
            <w:bottom w:w="0" w:type="dxa"/>
            <w:right w:w="108" w:type="dxa"/>
          </w:tblCellMar>
        </w:tblPrEx>
        <w:trPr>
          <w:cantSplit/>
          <w:trHeight w:val="11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rPr>
            </w:pPr>
            <w:r>
              <w:rPr>
                <w:b/>
                <w:color w:val="000000" w:themeColor="text1"/>
              </w:rPr>
              <w:t>4、风险识别与控制策划（QMS）</w:t>
            </w:r>
          </w:p>
          <w:p>
            <w:pPr>
              <w:spacing w:line="240" w:lineRule="exact"/>
              <w:ind w:firstLine="420"/>
              <w:rPr>
                <w:b/>
                <w:color w:val="000000" w:themeColor="text1"/>
              </w:rPr>
            </w:pPr>
            <w:r>
              <w:rPr>
                <w:rFonts w:cs="宋体" w:asciiTheme="minorEastAsia" w:hAnsiTheme="minorEastAsia"/>
                <w:szCs w:val="21"/>
              </w:rPr>
              <w:t>指定办公室负责组织公司风险和机遇识别和控制措施制定，建立并执行《风险和机遇控制程序》，提供了内外因素识别清单、风险及机遇识别评价表，将需要应对的风险和机遇进行风险分析确定风险级别（采用打分法），在管理体系所确定的过程中，整合制定针对性管理措施。</w:t>
            </w:r>
          </w:p>
        </w:tc>
      </w:tr>
      <w:tr>
        <w:tblPrEx>
          <w:tblCellMar>
            <w:top w:w="0" w:type="dxa"/>
            <w:left w:w="108" w:type="dxa"/>
            <w:bottom w:w="0" w:type="dxa"/>
            <w:right w:w="108" w:type="dxa"/>
          </w:tblCellMar>
        </w:tblPrEx>
        <w:trPr>
          <w:cantSplit/>
          <w:trHeight w:val="15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b/>
                <w:color w:val="000000" w:themeColor="text1"/>
                <w:sz w:val="20"/>
                <w:szCs w:val="20"/>
              </w:rPr>
              <w:t>过程</w:t>
            </w:r>
          </w:p>
          <w:p>
            <w:pPr>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质量管理体系过程有：</w:t>
            </w:r>
          </w:p>
          <w:p>
            <w:pPr>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其中关键过程有</w:t>
            </w:r>
            <w:r>
              <w:rPr>
                <w:rFonts w:ascii="宋体" w:hAnsi="宋体"/>
                <w:b/>
                <w:color w:val="000000" w:themeColor="text1"/>
                <w:sz w:val="20"/>
                <w:szCs w:val="20"/>
                <w:u w:val="single"/>
              </w:rPr>
              <w:t xml:space="preserve"> </w:t>
            </w:r>
            <w:r>
              <w:rPr>
                <w:rFonts w:hint="eastAsia" w:ascii="宋体" w:hAnsi="宋体"/>
                <w:b/>
                <w:color w:val="000000" w:themeColor="text1"/>
                <w:sz w:val="20"/>
                <w:szCs w:val="20"/>
                <w:u w:val="single"/>
              </w:rPr>
              <w:t>安装过程</w:t>
            </w: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r>
              <w:rPr>
                <w:rFonts w:ascii="宋体" w:hAnsi="宋体"/>
                <w:b/>
                <w:color w:val="000000" w:themeColor="text1"/>
                <w:sz w:val="20"/>
                <w:szCs w:val="20"/>
                <w:u w:val="single"/>
              </w:rPr>
              <w:t xml:space="preserve">                                  </w:t>
            </w:r>
          </w:p>
          <w:p>
            <w:pPr>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需要确认过程</w:t>
            </w:r>
          </w:p>
          <w:p>
            <w:pPr>
              <w:pStyle w:val="12"/>
              <w:spacing w:line="360" w:lineRule="auto"/>
              <w:ind w:left="420" w:firstLine="201"/>
              <w:jc w:val="left"/>
              <w:rPr>
                <w:rFonts w:ascii="宋体" w:hAnsi="宋体"/>
                <w:b/>
                <w:color w:val="000000" w:themeColor="text1"/>
                <w:szCs w:val="21"/>
              </w:rPr>
            </w:pPr>
            <w:r>
              <w:rPr>
                <w:rFonts w:hint="eastAsia" w:ascii="宋体" w:hAnsi="宋体"/>
                <w:b/>
                <w:color w:val="000000" w:themeColor="text1"/>
                <w:sz w:val="20"/>
              </w:rPr>
              <w:t>焊接过程，已进行过程确认；</w:t>
            </w:r>
          </w:p>
        </w:tc>
      </w:tr>
      <w:tr>
        <w:tblPrEx>
          <w:tblCellMar>
            <w:top w:w="0" w:type="dxa"/>
            <w:left w:w="108" w:type="dxa"/>
            <w:bottom w:w="0" w:type="dxa"/>
            <w:right w:w="108" w:type="dxa"/>
          </w:tblCellMar>
        </w:tblPrEx>
        <w:trPr>
          <w:cantSplit/>
          <w:trHeight w:val="14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环境因素</w:t>
            </w:r>
            <w:r>
              <w:rPr>
                <w:rFonts w:ascii="宋体" w:hAnsi="宋体"/>
                <w:b/>
                <w:color w:val="000000" w:themeColor="text1"/>
                <w:sz w:val="20"/>
                <w:szCs w:val="20"/>
              </w:rPr>
              <w:t>辨识是否充分、重要环境因素评价合理性，</w:t>
            </w:r>
            <w:r>
              <w:rPr>
                <w:rFonts w:ascii="宋体" w:hAnsi="宋体"/>
                <w:b/>
                <w:color w:val="000000" w:themeColor="text1"/>
                <w:spacing w:val="-8"/>
                <w:sz w:val="20"/>
                <w:szCs w:val="20"/>
              </w:rPr>
              <w:t>以及环境因素动态变更的及时性等）</w:t>
            </w:r>
          </w:p>
          <w:p>
            <w:pPr>
              <w:spacing w:line="300" w:lineRule="exact"/>
              <w:rPr>
                <w:color w:val="000000" w:themeColor="text1"/>
                <w:sz w:val="20"/>
                <w:szCs w:val="20"/>
              </w:rPr>
            </w:pPr>
            <w:r>
              <w:rPr>
                <w:rFonts w:hint="eastAsia" w:ascii="宋体" w:hAnsi="宋体"/>
                <w:b/>
                <w:color w:val="000000" w:themeColor="text1"/>
                <w:spacing w:val="-8"/>
                <w:sz w:val="20"/>
                <w:szCs w:val="20"/>
              </w:rPr>
              <w:t xml:space="preserve"> </w:t>
            </w:r>
            <w:r>
              <w:rPr>
                <w:rFonts w:ascii="宋体" w:hAnsi="宋体"/>
                <w:b/>
                <w:color w:val="000000" w:themeColor="text1"/>
                <w:spacing w:val="-8"/>
                <w:sz w:val="20"/>
                <w:szCs w:val="20"/>
              </w:rPr>
              <w:t xml:space="preserve"> </w:t>
            </w:r>
            <w:r>
              <w:rPr>
                <w:rFonts w:hint="eastAsia" w:ascii="宋体" w:hAnsi="宋体"/>
                <w:color w:val="000000" w:themeColor="text1"/>
                <w:spacing w:val="-8"/>
                <w:sz w:val="20"/>
                <w:szCs w:val="20"/>
              </w:rPr>
              <w:t>本次审核不涉及</w:t>
            </w:r>
          </w:p>
        </w:tc>
      </w:tr>
      <w:tr>
        <w:tblPrEx>
          <w:tblCellMar>
            <w:top w:w="0" w:type="dxa"/>
            <w:left w:w="108" w:type="dxa"/>
            <w:bottom w:w="0" w:type="dxa"/>
            <w:right w:w="108" w:type="dxa"/>
          </w:tblCellMar>
        </w:tblPrEx>
        <w:trPr>
          <w:cantSplit/>
          <w:trHeight w:val="21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职业健康安全危险源</w:t>
            </w:r>
            <w:r>
              <w:rPr>
                <w:rFonts w:ascii="宋体" w:hAnsi="宋体"/>
                <w:b/>
                <w:color w:val="000000" w:themeColor="text1"/>
                <w:sz w:val="20"/>
                <w:szCs w:val="20"/>
              </w:rPr>
              <w:t>辨识是否充分、风险评价合理性，</w:t>
            </w:r>
            <w:r>
              <w:rPr>
                <w:rFonts w:ascii="宋体" w:hAnsi="宋体"/>
                <w:b/>
                <w:color w:val="000000" w:themeColor="text1"/>
                <w:spacing w:val="-8"/>
                <w:sz w:val="20"/>
                <w:szCs w:val="20"/>
              </w:rPr>
              <w:t>以及风险评价动态变更的及时性等）</w:t>
            </w:r>
          </w:p>
          <w:p>
            <w:pPr>
              <w:pStyle w:val="2"/>
              <w:ind w:firstLine="420"/>
              <w:rPr>
                <w:rFonts w:ascii="宋体" w:hAnsi="宋体"/>
                <w:color w:val="000000" w:themeColor="text1"/>
                <w:szCs w:val="21"/>
              </w:rPr>
            </w:pPr>
            <w:r>
              <w:rPr>
                <w:rFonts w:ascii="宋体" w:hAnsi="宋体"/>
                <w:color w:val="000000" w:themeColor="text1"/>
                <w:szCs w:val="21"/>
              </w:rPr>
              <w:t>识别了办公、生产和服务、业务活动、质检等过程的危险源，动态更新，确定的不可接受风险包括：</w:t>
            </w:r>
            <w:r>
              <w:rPr>
                <w:rFonts w:hint="eastAsia" w:ascii="宋体" w:hAnsi="宋体"/>
                <w:color w:val="000000" w:themeColor="text1"/>
                <w:szCs w:val="21"/>
              </w:rPr>
              <w:t>工作中割伤、砸伤、划伤伤害，高部跌落、物体打击伤害，火灾、触电、打磨过程和机加工过程铁屑砸伤和伤眼、噪声伤害等危险源</w:t>
            </w:r>
            <w:r>
              <w:rPr>
                <w:rFonts w:ascii="宋体" w:hAnsi="宋体"/>
                <w:color w:val="000000" w:themeColor="text1"/>
                <w:szCs w:val="21"/>
              </w:rPr>
              <w:t>。</w:t>
            </w:r>
          </w:p>
          <w:p>
            <w:pPr>
              <w:pStyle w:val="2"/>
              <w:ind w:firstLine="420"/>
              <w:rPr>
                <w:rFonts w:ascii="宋体" w:hAnsi="宋体"/>
                <w:color w:val="000000" w:themeColor="text1"/>
                <w:szCs w:val="21"/>
              </w:rPr>
            </w:pPr>
            <w:r>
              <w:rPr>
                <w:rFonts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中，措施方案基本适宜、实施基本有效。</w:t>
            </w:r>
          </w:p>
          <w:p>
            <w:pPr>
              <w:spacing w:line="300" w:lineRule="exact"/>
              <w:ind w:firstLine="420"/>
              <w:rPr>
                <w:b/>
                <w:color w:val="000000" w:themeColor="text1"/>
                <w:sz w:val="20"/>
                <w:szCs w:val="20"/>
              </w:rPr>
            </w:pPr>
            <w:r>
              <w:rPr>
                <w:rFonts w:ascii="宋体" w:hAnsi="宋体"/>
                <w:color w:val="000000" w:themeColor="text1"/>
                <w:szCs w:val="21"/>
              </w:rPr>
              <w:t>公司通过日常巡视等方式进行职业健康安全检查，监视和测量公司的职业健康安全状况，检查工作基本按要求实施。</w:t>
            </w:r>
          </w:p>
        </w:tc>
      </w:tr>
      <w:tr>
        <w:tblPrEx>
          <w:tblCellMar>
            <w:top w:w="0" w:type="dxa"/>
            <w:left w:w="108" w:type="dxa"/>
            <w:bottom w:w="0" w:type="dxa"/>
            <w:right w:w="108" w:type="dxa"/>
          </w:tblCellMar>
        </w:tblPrEx>
        <w:trPr>
          <w:cantSplit/>
          <w:trHeight w:val="18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b/>
                <w:color w:val="000000" w:themeColor="text1"/>
                <w:spacing w:val="-4"/>
                <w:szCs w:val="21"/>
              </w:rPr>
            </w:pPr>
            <w:r>
              <w:rPr>
                <w:b/>
                <w:color w:val="000000" w:themeColor="text1"/>
                <w:szCs w:val="21"/>
              </w:rPr>
              <w:t xml:space="preserve">4. </w:t>
            </w:r>
            <w:r>
              <w:rPr>
                <w:rFonts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获取法律法规项，</w:t>
            </w:r>
            <w:r>
              <w:rPr>
                <w:rFonts w:ascii="MS Mincho" w:hAnsi="MS Mincho" w:eastAsia="MS Mincho" w:cs="MS Mincho"/>
                <w:b/>
                <w:color w:val="000000" w:themeColor="text1"/>
                <w:szCs w:val="21"/>
              </w:rPr>
              <w:t>☑</w:t>
            </w:r>
            <w:r>
              <w:rPr>
                <w:rFonts w:ascii="宋体" w:hAnsi="宋体"/>
                <w:b/>
                <w:color w:val="000000" w:themeColor="text1"/>
                <w:szCs w:val="21"/>
              </w:rPr>
              <w:t>法律法规获取充分，□法律法规获取有遗漏，缺少</w:t>
            </w:r>
          </w:p>
          <w:p>
            <w:pPr>
              <w:pStyle w:val="11"/>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结合公司的□产品/服务□环境因素</w:t>
            </w:r>
            <w:r>
              <w:rPr>
                <w:rFonts w:ascii="MS Mincho" w:hAnsi="MS Mincho" w:eastAsia="MS Mincho" w:cs="MS Mincho"/>
                <w:b/>
                <w:color w:val="000000" w:themeColor="text1"/>
                <w:szCs w:val="21"/>
              </w:rPr>
              <w:t>☑</w:t>
            </w:r>
            <w:r>
              <w:rPr>
                <w:rFonts w:ascii="宋体" w:hAnsi="宋体"/>
                <w:b/>
                <w:color w:val="000000" w:themeColor="text1"/>
                <w:szCs w:val="21"/>
              </w:rPr>
              <w:t>危险源，</w:t>
            </w:r>
            <w:r>
              <w:rPr>
                <w:rFonts w:ascii="MS Mincho" w:hAnsi="MS Mincho" w:eastAsia="MS Mincho" w:cs="MS Mincho"/>
                <w:b/>
                <w:color w:val="000000" w:themeColor="text1"/>
                <w:szCs w:val="21"/>
              </w:rPr>
              <w:t>☑</w:t>
            </w:r>
            <w:r>
              <w:rPr>
                <w:rFonts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法律法规的宣传方式：</w:t>
            </w:r>
            <w:r>
              <w:rPr>
                <w:rFonts w:ascii="宋体" w:hAnsi="宋体"/>
                <w:szCs w:val="21"/>
                <w:u w:val="single"/>
              </w:rPr>
              <w:t>公司通过培训、文件、会议等方式向有关员工传达法律、法规及其它要求的相关要求</w:t>
            </w:r>
          </w:p>
          <w:p>
            <w:pPr>
              <w:pStyle w:val="11"/>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法律法规要求及时更新了</w:t>
            </w:r>
            <w:r>
              <w:rPr>
                <w:rFonts w:ascii="宋体" w:hAnsi="宋体"/>
                <w:szCs w:val="21"/>
                <w:u w:val="single"/>
              </w:rPr>
              <w:t>为最新版本，每年更新一次</w:t>
            </w:r>
          </w:p>
          <w:p>
            <w:pPr>
              <w:tabs>
                <w:tab w:val="left" w:pos="0"/>
              </w:tabs>
              <w:spacing w:line="240" w:lineRule="exact"/>
              <w:rPr>
                <w:b/>
                <w:color w:val="000000" w:themeColor="text1"/>
                <w:sz w:val="14"/>
                <w:szCs w:val="14"/>
              </w:rPr>
            </w:pPr>
          </w:p>
        </w:tc>
      </w:tr>
      <w:tr>
        <w:tblPrEx>
          <w:tblCellMar>
            <w:top w:w="0" w:type="dxa"/>
            <w:left w:w="108" w:type="dxa"/>
            <w:bottom w:w="0" w:type="dxa"/>
            <w:right w:w="108" w:type="dxa"/>
          </w:tblCellMar>
        </w:tblPrEx>
        <w:trPr>
          <w:cantSplit/>
          <w:trHeight w:val="22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b/>
                <w:color w:val="000000" w:themeColor="text1"/>
                <w:szCs w:val="21"/>
              </w:rPr>
            </w:pPr>
            <w:r>
              <w:rPr>
                <w:b/>
                <w:color w:val="000000" w:themeColor="text1"/>
                <w:szCs w:val="21"/>
              </w:rPr>
              <w:t xml:space="preserve">5. </w:t>
            </w:r>
            <w:r>
              <w:rPr>
                <w:rFonts w:ascii="宋体" w:hAnsi="宋体"/>
                <w:b/>
                <w:color w:val="000000" w:themeColor="text1"/>
                <w:szCs w:val="21"/>
              </w:rPr>
              <w:t>目标、方案</w:t>
            </w:r>
          </w:p>
          <w:p>
            <w:pPr>
              <w:spacing w:line="300" w:lineRule="exact"/>
              <w:rPr>
                <w:rFonts w:ascii="宋体" w:hAnsi="宋体"/>
                <w:b/>
                <w:color w:val="000000" w:themeColor="text1"/>
                <w:sz w:val="20"/>
                <w:szCs w:val="20"/>
              </w:rPr>
            </w:pPr>
            <w:r>
              <w:rPr>
                <w:b/>
                <w:color w:val="000000" w:themeColor="text1"/>
                <w:sz w:val="20"/>
                <w:szCs w:val="20"/>
              </w:rPr>
              <w:t>（</w:t>
            </w:r>
            <w:r>
              <w:rPr>
                <w:rFonts w:ascii="宋体" w:hAnsi="宋体"/>
                <w:b/>
                <w:color w:val="000000" w:themeColor="text1"/>
                <w:spacing w:val="-4"/>
                <w:sz w:val="20"/>
                <w:szCs w:val="20"/>
              </w:rPr>
              <w:t>在相关层次上建立</w:t>
            </w:r>
            <w:r>
              <w:rPr>
                <w:rFonts w:ascii="宋体" w:hAnsi="宋体"/>
                <w:b/>
                <w:color w:val="000000" w:themeColor="text1"/>
                <w:sz w:val="20"/>
                <w:szCs w:val="20"/>
              </w:rPr>
              <w:t>可测量的目标，目标、方案的有效性，对质量目标的实现情况进行评价并叙述测量方法）</w:t>
            </w:r>
          </w:p>
          <w:p>
            <w:pPr>
              <w:pStyle w:val="11"/>
              <w:ind w:left="210"/>
              <w:rPr>
                <w:szCs w:val="22"/>
              </w:rPr>
            </w:pPr>
            <w:r>
              <w:rPr>
                <w:szCs w:val="22"/>
              </w:rPr>
              <w:t>质量目标</w:t>
            </w:r>
          </w:p>
          <w:p>
            <w:pPr>
              <w:pStyle w:val="11"/>
              <w:ind w:left="210"/>
              <w:rPr>
                <w:szCs w:val="22"/>
              </w:rPr>
            </w:pPr>
            <w:r>
              <w:rPr>
                <w:szCs w:val="22"/>
              </w:rPr>
              <w:t>1、整机</w:t>
            </w:r>
            <w:r>
              <w:rPr>
                <w:rFonts w:hint="eastAsia"/>
                <w:szCs w:val="22"/>
              </w:rPr>
              <w:t>产品</w:t>
            </w:r>
            <w:r>
              <w:rPr>
                <w:szCs w:val="22"/>
              </w:rPr>
              <w:t>合格率100%。</w:t>
            </w:r>
          </w:p>
          <w:p>
            <w:pPr>
              <w:pStyle w:val="11"/>
              <w:ind w:left="210"/>
              <w:rPr>
                <w:szCs w:val="22"/>
              </w:rPr>
            </w:pPr>
            <w:r>
              <w:rPr>
                <w:szCs w:val="22"/>
              </w:rPr>
              <w:t>2、顾客满意度≥85%，顾客投诉率为零。</w:t>
            </w:r>
          </w:p>
          <w:p>
            <w:pPr>
              <w:pStyle w:val="11"/>
              <w:ind w:left="210"/>
              <w:rPr>
                <w:szCs w:val="22"/>
              </w:rPr>
            </w:pPr>
          </w:p>
          <w:p>
            <w:pPr>
              <w:pStyle w:val="11"/>
              <w:ind w:left="210"/>
              <w:rPr>
                <w:szCs w:val="22"/>
              </w:rPr>
            </w:pPr>
            <w:r>
              <w:rPr>
                <w:szCs w:val="22"/>
              </w:rPr>
              <w:t>职业健康安全目标</w:t>
            </w:r>
          </w:p>
          <w:p>
            <w:pPr>
              <w:pStyle w:val="11"/>
              <w:ind w:left="210"/>
              <w:rPr>
                <w:szCs w:val="22"/>
              </w:rPr>
            </w:pPr>
            <w:r>
              <w:rPr>
                <w:szCs w:val="22"/>
              </w:rPr>
              <w:t>1、全年安全生产无事故</w:t>
            </w:r>
          </w:p>
          <w:p>
            <w:pPr>
              <w:pStyle w:val="11"/>
              <w:ind w:left="210"/>
              <w:rPr>
                <w:szCs w:val="22"/>
              </w:rPr>
            </w:pPr>
            <w:r>
              <w:rPr>
                <w:szCs w:val="22"/>
              </w:rPr>
              <w:t xml:space="preserve">  a）重伤事故为零。</w:t>
            </w:r>
          </w:p>
          <w:p>
            <w:pPr>
              <w:pStyle w:val="11"/>
              <w:ind w:left="210"/>
              <w:rPr>
                <w:szCs w:val="22"/>
              </w:rPr>
            </w:pPr>
            <w:r>
              <w:rPr>
                <w:szCs w:val="22"/>
              </w:rPr>
              <w:t xml:space="preserve">  b）火灾事故为零。</w:t>
            </w:r>
          </w:p>
          <w:p>
            <w:pPr>
              <w:pStyle w:val="11"/>
              <w:ind w:left="210"/>
              <w:rPr>
                <w:szCs w:val="22"/>
              </w:rPr>
            </w:pPr>
            <w:r>
              <w:rPr>
                <w:szCs w:val="22"/>
              </w:rPr>
              <w:t xml:space="preserve">  c）重大设备事故为零。</w:t>
            </w:r>
          </w:p>
          <w:p>
            <w:pPr>
              <w:pStyle w:val="11"/>
              <w:ind w:left="210"/>
              <w:rPr>
                <w:szCs w:val="22"/>
              </w:rPr>
            </w:pPr>
            <w:r>
              <w:rPr>
                <w:szCs w:val="22"/>
              </w:rPr>
              <w:t>2、全年职业病发生率为零。</w:t>
            </w:r>
          </w:p>
          <w:p>
            <w:pPr>
              <w:pStyle w:val="11"/>
              <w:ind w:left="210"/>
              <w:rPr>
                <w:szCs w:val="22"/>
              </w:rPr>
            </w:pPr>
            <w:r>
              <w:rPr>
                <w:szCs w:val="22"/>
              </w:rPr>
              <w:t>3、一般事故（轻微伤、较小设备事故损失）处置费用控制额≤10万元/年。</w:t>
            </w:r>
          </w:p>
          <w:p>
            <w:pPr>
              <w:pStyle w:val="11"/>
              <w:ind w:left="210"/>
              <w:rPr>
                <w:szCs w:val="22"/>
              </w:rPr>
            </w:pPr>
          </w:p>
          <w:p>
            <w:pPr>
              <w:pStyle w:val="11"/>
              <w:ind w:left="210"/>
              <w:rPr>
                <w:szCs w:val="22"/>
              </w:rPr>
            </w:pPr>
            <w:r>
              <w:rPr>
                <w:szCs w:val="22"/>
              </w:rPr>
              <w:t>提供各部门</w:t>
            </w:r>
            <w:r>
              <w:rPr>
                <w:rFonts w:hint="eastAsia"/>
                <w:szCs w:val="22"/>
              </w:rPr>
              <w:t>质量</w:t>
            </w:r>
            <w:r>
              <w:rPr>
                <w:szCs w:val="22"/>
              </w:rPr>
              <w:t>目标完成情况统计记录、各部门安全指标分解实现统计表；</w:t>
            </w:r>
          </w:p>
          <w:p>
            <w:pPr>
              <w:pStyle w:val="11"/>
              <w:ind w:left="210"/>
              <w:rPr>
                <w:szCs w:val="22"/>
              </w:rPr>
            </w:pPr>
            <w:r>
              <w:rPr>
                <w:szCs w:val="22"/>
              </w:rPr>
              <w:t>目标已分解到各部门，有目标实现的措施和资源、考核方式、考核周期等要求。</w:t>
            </w:r>
          </w:p>
          <w:p>
            <w:pPr>
              <w:spacing w:line="240" w:lineRule="exact"/>
              <w:rPr>
                <w:rFonts w:ascii="宋体" w:hAnsi="宋体"/>
                <w:b/>
                <w:color w:val="000000" w:themeColor="text1"/>
              </w:rPr>
            </w:pPr>
          </w:p>
        </w:tc>
      </w:tr>
      <w:tr>
        <w:tblPrEx>
          <w:tblCellMar>
            <w:top w:w="0" w:type="dxa"/>
            <w:left w:w="108" w:type="dxa"/>
            <w:bottom w:w="0" w:type="dxa"/>
            <w:right w:w="108" w:type="dxa"/>
          </w:tblCellMar>
        </w:tblPrEx>
        <w:trPr>
          <w:cantSplit/>
          <w:trHeight w:val="6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b/>
                <w:color w:val="000000" w:themeColor="text1"/>
                <w:sz w:val="20"/>
                <w:szCs w:val="20"/>
              </w:rPr>
              <w:t>6. 文件与记录控制 (</w:t>
            </w:r>
            <w:r>
              <w:rPr>
                <w:rFonts w:ascii="宋体" w:hAnsi="宋体"/>
                <w:b/>
                <w:color w:val="000000" w:themeColor="text1"/>
                <w:sz w:val="20"/>
                <w:szCs w:val="20"/>
              </w:rPr>
              <w:t>文审修订后文件与标准的符合程度评价、</w:t>
            </w:r>
            <w:r>
              <w:rPr>
                <w:rFonts w:ascii="宋体" w:hAnsi="宋体"/>
                <w:b/>
                <w:color w:val="000000" w:themeColor="text1"/>
                <w:spacing w:val="-4"/>
                <w:sz w:val="20"/>
                <w:szCs w:val="20"/>
              </w:rPr>
              <w:t>文件</w:t>
            </w:r>
            <w:r>
              <w:rPr>
                <w:rFonts w:ascii="宋体" w:hAnsi="宋体"/>
                <w:b/>
                <w:color w:val="000000" w:themeColor="text1"/>
                <w:sz w:val="20"/>
                <w:szCs w:val="20"/>
              </w:rPr>
              <w:t>控制管理等)</w:t>
            </w:r>
          </w:p>
          <w:p>
            <w:pPr>
              <w:spacing w:line="480" w:lineRule="auto"/>
              <w:ind w:firstLine="420"/>
              <w:rPr>
                <w:rFonts w:ascii="宋体" w:hAnsi="宋体"/>
                <w:b/>
                <w:color w:val="000000" w:themeColor="text1"/>
                <w:sz w:val="20"/>
                <w:szCs w:val="20"/>
              </w:rPr>
            </w:pPr>
            <w:r>
              <w:rPr>
                <w:szCs w:val="22"/>
              </w:rPr>
              <w:t>体系文件符合公司要求，文件和记录管理控制符合标准要求。</w:t>
            </w:r>
          </w:p>
        </w:tc>
      </w:tr>
      <w:tr>
        <w:tblPrEx>
          <w:tblCellMar>
            <w:top w:w="0" w:type="dxa"/>
            <w:left w:w="108" w:type="dxa"/>
            <w:bottom w:w="0" w:type="dxa"/>
            <w:right w:w="108" w:type="dxa"/>
          </w:tblCellMar>
        </w:tblPrEx>
        <w:trPr>
          <w:cantSplit/>
          <w:trHeight w:val="944"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r>
              <w:rPr>
                <w:rFonts w:ascii="宋体" w:hAnsi="宋体"/>
                <w:b/>
                <w:color w:val="000000" w:themeColor="text1"/>
                <w:szCs w:val="21"/>
              </w:rPr>
              <w:t>(二)资源评价</w:t>
            </w: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b/>
                <w:color w:val="000000" w:themeColor="text1"/>
                <w:sz w:val="20"/>
                <w:szCs w:val="20"/>
              </w:rPr>
            </w:pPr>
            <w:r>
              <w:rPr>
                <w:rFonts w:ascii="宋体" w:hAnsi="宋体"/>
                <w:b/>
                <w:color w:val="000000" w:themeColor="text1"/>
                <w:sz w:val="20"/>
                <w:szCs w:val="20"/>
              </w:rPr>
              <w:t>人力资源的简要说明</w:t>
            </w:r>
            <w:r>
              <w:rPr>
                <w:b/>
                <w:color w:val="000000" w:themeColor="text1"/>
                <w:sz w:val="20"/>
                <w:szCs w:val="20"/>
              </w:rPr>
              <w:t>.</w:t>
            </w:r>
            <w:r>
              <w:rPr>
                <w:rFonts w:ascii="宋体" w:hAnsi="宋体"/>
                <w:b/>
                <w:color w:val="000000" w:themeColor="text1"/>
                <w:sz w:val="20"/>
                <w:szCs w:val="20"/>
              </w:rPr>
              <w:t>:</w:t>
            </w:r>
          </w:p>
          <w:p>
            <w:pPr>
              <w:ind w:firstLine="420"/>
              <w:jc w:val="left"/>
              <w:rPr>
                <w:rFonts w:ascii="宋体" w:hAnsi="宋体"/>
                <w:b/>
                <w:color w:val="000000" w:themeColor="text1"/>
                <w:sz w:val="20"/>
                <w:szCs w:val="20"/>
              </w:rPr>
            </w:pPr>
            <w:r>
              <w:rPr>
                <w:szCs w:val="22"/>
              </w:rPr>
              <w:t>编制了人力资源管理程序，制定培训计划，定期组织相关培训，主要是</w:t>
            </w:r>
            <w:r>
              <w:rPr>
                <w:rFonts w:cs="宋体" w:asciiTheme="minorEastAsia" w:hAnsiTheme="minorEastAsia"/>
                <w:szCs w:val="21"/>
              </w:rPr>
              <w:t>体系标准和手册和程序培训、合规性评价培训、应急响应和预案、安全生产知识培训、管理制度培训</w:t>
            </w:r>
            <w:r>
              <w:rPr>
                <w:szCs w:val="22"/>
              </w:rPr>
              <w:t>。</w:t>
            </w: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rFonts w:ascii="宋体" w:hAnsi="宋体"/>
                <w:b/>
                <w:color w:val="000000" w:themeColor="text1"/>
                <w:sz w:val="20"/>
                <w:szCs w:val="20"/>
              </w:rPr>
              <w:t>设备设施（包括信息系统）、</w:t>
            </w:r>
          </w:p>
          <w:p>
            <w:pPr>
              <w:ind w:firstLine="420"/>
              <w:rPr>
                <w:szCs w:val="22"/>
              </w:rPr>
            </w:pPr>
            <w:r>
              <w:rPr>
                <w:rFonts w:hint="eastAsia"/>
                <w:szCs w:val="22"/>
              </w:rPr>
              <w:t>公司确定、配置和维护过程运行所需的基础设施、设备：数控开平剪板机、剪板机、折弯机、冲床、液压折边机、热压胶合机、辊轮滚压成型机、组合式冲床、门框成型生产线、冷弯成型机组、型材切割机、台式钻床、电动单梁桥式起重机等</w:t>
            </w:r>
            <w:r>
              <w:rPr>
                <w:szCs w:val="22"/>
              </w:rPr>
              <w:t>，有设备台帐；</w:t>
            </w:r>
          </w:p>
          <w:p>
            <w:pPr>
              <w:ind w:firstLine="420"/>
              <w:rPr>
                <w:szCs w:val="22"/>
              </w:rPr>
            </w:pPr>
            <w:r>
              <w:rPr>
                <w:szCs w:val="22"/>
              </w:rPr>
              <w:t>有独立的办公区域</w:t>
            </w:r>
            <w:r>
              <w:rPr>
                <w:rFonts w:hint="eastAsia"/>
                <w:szCs w:val="22"/>
              </w:rPr>
              <w:t>和生产车间</w:t>
            </w:r>
            <w:r>
              <w:rPr>
                <w:szCs w:val="22"/>
              </w:rPr>
              <w:t>，</w:t>
            </w:r>
            <w:r>
              <w:rPr>
                <w:rFonts w:hint="eastAsia"/>
                <w:szCs w:val="22"/>
              </w:rPr>
              <w:t>公司厂房为租赁。</w:t>
            </w:r>
          </w:p>
          <w:p>
            <w:pPr>
              <w:spacing w:line="240" w:lineRule="exact"/>
              <w:rPr>
                <w:rFonts w:ascii="宋体" w:hAnsi="宋体"/>
                <w:b/>
                <w:color w:val="000000" w:themeColor="text1"/>
                <w:sz w:val="20"/>
                <w:szCs w:val="20"/>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rFonts w:ascii="宋体" w:hAnsi="宋体"/>
                <w:b/>
                <w:color w:val="000000" w:themeColor="text1"/>
                <w:sz w:val="20"/>
                <w:szCs w:val="20"/>
              </w:rPr>
              <w:t>过程运行环境</w:t>
            </w:r>
          </w:p>
          <w:p>
            <w:pPr>
              <w:ind w:firstLine="420"/>
              <w:rPr>
                <w:szCs w:val="22"/>
              </w:rPr>
            </w:pPr>
            <w:r>
              <w:rPr>
                <w:szCs w:val="22"/>
              </w:rPr>
              <w:t>办公场所空间较宽敞、光线较明亮，各现场环境整洁；</w:t>
            </w:r>
          </w:p>
          <w:p>
            <w:pPr>
              <w:ind w:firstLine="420"/>
              <w:rPr>
                <w:rFonts w:ascii="宋体" w:hAnsi="宋体"/>
                <w:b/>
                <w:color w:val="000000" w:themeColor="text1"/>
                <w:sz w:val="20"/>
                <w:szCs w:val="20"/>
              </w:rPr>
            </w:pPr>
            <w:r>
              <w:rPr>
                <w:rFonts w:hint="eastAsia"/>
                <w:szCs w:val="22"/>
              </w:rPr>
              <w:t>本公司根据产品和服务特点，确定、提供并维护过程运行所需要的环境，确保运行环境舒适安全、和谐稳定</w:t>
            </w:r>
            <w:r>
              <w:rPr>
                <w:szCs w:val="22"/>
              </w:rPr>
              <w:t>。</w:t>
            </w:r>
          </w:p>
        </w:tc>
      </w:tr>
      <w:tr>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rFonts w:ascii="宋体" w:hAnsi="宋体"/>
                <w:b/>
                <w:color w:val="000000" w:themeColor="text1"/>
                <w:sz w:val="20"/>
                <w:szCs w:val="20"/>
              </w:rPr>
              <w:t>监视和测量资源</w:t>
            </w:r>
          </w:p>
          <w:p>
            <w:pPr>
              <w:ind w:firstLine="420"/>
              <w:rPr>
                <w:rFonts w:ascii="宋体" w:hAnsi="宋体"/>
                <w:b/>
                <w:color w:val="000000" w:themeColor="text1"/>
                <w:sz w:val="20"/>
                <w:szCs w:val="20"/>
              </w:rPr>
            </w:pPr>
            <w:r>
              <w:rPr>
                <w:rFonts w:hint="eastAsia"/>
                <w:szCs w:val="22"/>
              </w:rPr>
              <w:t>公司配备防火门可靠性试验装置1651 FHM-I、防火门甲醛测定仪３０４０ GDYJ－２０１MC、</w:t>
            </w:r>
            <w:r>
              <w:rPr>
                <w:szCs w:val="22"/>
              </w:rPr>
              <w:t xml:space="preserve"> </w:t>
            </w:r>
            <w:r>
              <w:rPr>
                <w:rFonts w:hint="eastAsia"/>
                <w:szCs w:val="22"/>
              </w:rPr>
              <w:t>抗压抗折试验机２１７８  LDS－１０、超声波测厚仪０００１ TEME２１１３、游标卡尺 （０－１５０ｍ）＼钢卷尺 （０－３．５）ｍ＼万能角度尺（０－１８０）度、管形测力计LTZ－１０ 有校准证书 校准部门是深圳市汇科计量检测技术有限公司</w:t>
            </w:r>
            <w:r>
              <w:rPr>
                <w:szCs w:val="22"/>
              </w:rPr>
              <w:t>。</w:t>
            </w: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rFonts w:ascii="宋体" w:hAnsi="宋体"/>
                <w:b/>
                <w:color w:val="000000" w:themeColor="text1"/>
                <w:sz w:val="20"/>
                <w:szCs w:val="20"/>
              </w:rPr>
              <w:t>知识</w:t>
            </w:r>
          </w:p>
          <w:p>
            <w:pPr>
              <w:ind w:firstLine="420"/>
              <w:rPr>
                <w:szCs w:val="22"/>
              </w:rPr>
            </w:pPr>
            <w:r>
              <w:rPr>
                <w:szCs w:val="22"/>
              </w:rPr>
              <w:t>公司按手册中组织知识要求进行知识控制，公司确定运行过程所需的知识及管理要求；</w:t>
            </w:r>
          </w:p>
          <w:p>
            <w:pPr>
              <w:ind w:firstLine="420"/>
              <w:rPr>
                <w:szCs w:val="22"/>
              </w:rPr>
            </w:pPr>
            <w:r>
              <w:rPr>
                <w:rFonts w:hint="eastAsia"/>
                <w:szCs w:val="22"/>
              </w:rPr>
              <w:t>内部来源包括：公司运作准则（管理手册、程序文件、各项制度等）、管理过程控制失败和成功项目吸取的经验教训和改进的结果等；</w:t>
            </w:r>
          </w:p>
          <w:p>
            <w:pPr>
              <w:ind w:firstLine="420"/>
              <w:rPr>
                <w:szCs w:val="22"/>
              </w:rPr>
            </w:pPr>
            <w:r>
              <w:rPr>
                <w:rFonts w:hint="eastAsia"/>
                <w:szCs w:val="22"/>
              </w:rPr>
              <w:t>外部来源包括：外来资料（如顾客反馈的信息、供应商和合作伙伴知识、竞争对手等）、法律法规、</w:t>
            </w:r>
          </w:p>
          <w:p>
            <w:pPr>
              <w:ind w:firstLine="420"/>
              <w:rPr>
                <w:rFonts w:ascii="宋体" w:hAnsi="宋体"/>
                <w:b/>
                <w:color w:val="000000" w:themeColor="text1"/>
                <w:sz w:val="20"/>
                <w:szCs w:val="20"/>
              </w:rPr>
            </w:pPr>
            <w:r>
              <w:rPr>
                <w:rFonts w:hint="eastAsia"/>
                <w:szCs w:val="22"/>
              </w:rPr>
              <w:t>市场信息等。对知识的保持采取文件资料的保存和信息系统存储方式，在公司内部通过传递、交流、培训等方式获取。</w:t>
            </w: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rFonts w:ascii="宋体" w:hAnsi="宋体"/>
                <w:b/>
                <w:color w:val="000000" w:themeColor="text1"/>
                <w:sz w:val="20"/>
                <w:szCs w:val="20"/>
              </w:rPr>
              <w:t>环保设施：</w:t>
            </w:r>
          </w:p>
          <w:p>
            <w:pPr>
              <w:spacing w:line="240" w:lineRule="exact"/>
              <w:ind w:firstLine="420" w:firstLineChars="200"/>
              <w:rPr>
                <w:rFonts w:ascii="宋体" w:hAnsi="宋体"/>
                <w:b/>
                <w:color w:val="000000" w:themeColor="text1"/>
                <w:sz w:val="20"/>
                <w:szCs w:val="20"/>
              </w:rPr>
            </w:pPr>
            <w:r>
              <w:rPr>
                <w:szCs w:val="22"/>
              </w:rPr>
              <w:t>/</w:t>
            </w:r>
          </w:p>
        </w:tc>
      </w:tr>
      <w:tr>
        <w:tblPrEx>
          <w:tblCellMar>
            <w:top w:w="0" w:type="dxa"/>
            <w:left w:w="108" w:type="dxa"/>
            <w:bottom w:w="0" w:type="dxa"/>
            <w:right w:w="108" w:type="dxa"/>
          </w:tblCellMar>
        </w:tblPrEx>
        <w:trPr>
          <w:cantSplit/>
          <w:trHeight w:val="6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rFonts w:ascii="宋体" w:hAnsi="宋体"/>
                <w:b/>
                <w:color w:val="000000" w:themeColor="text1"/>
                <w:sz w:val="20"/>
                <w:szCs w:val="20"/>
              </w:rPr>
            </w:pPr>
            <w:r>
              <w:rPr>
                <w:rFonts w:ascii="宋体" w:hAnsi="宋体"/>
                <w:b/>
                <w:color w:val="000000" w:themeColor="text1"/>
                <w:sz w:val="20"/>
                <w:szCs w:val="20"/>
              </w:rPr>
              <w:t>职业健康安全设施：</w:t>
            </w:r>
          </w:p>
          <w:p>
            <w:pPr>
              <w:spacing w:line="240" w:lineRule="exact"/>
              <w:ind w:firstLine="420" w:firstLineChars="200"/>
              <w:rPr>
                <w:rFonts w:ascii="宋体" w:hAnsi="宋体"/>
                <w:b/>
                <w:color w:val="000000" w:themeColor="text1"/>
                <w:sz w:val="20"/>
                <w:szCs w:val="20"/>
              </w:rPr>
            </w:pPr>
            <w:r>
              <w:rPr>
                <w:rFonts w:hint="eastAsia"/>
                <w:szCs w:val="22"/>
              </w:rPr>
              <w:t>安全警示</w:t>
            </w:r>
            <w:r>
              <w:rPr>
                <w:szCs w:val="22"/>
              </w:rPr>
              <w:t>标志牌、劳保用品、灭火器；</w:t>
            </w:r>
            <w:r>
              <w:rPr>
                <w:rFonts w:hint="eastAsia"/>
                <w:szCs w:val="22"/>
              </w:rPr>
              <w:t>用电设施漏电保护装置；设备防护装置等</w:t>
            </w:r>
          </w:p>
        </w:tc>
      </w:tr>
      <w:tr>
        <w:tblPrEx>
          <w:tblCellMar>
            <w:top w:w="0" w:type="dxa"/>
            <w:left w:w="108" w:type="dxa"/>
            <w:bottom w:w="0" w:type="dxa"/>
            <w:right w:w="108" w:type="dxa"/>
          </w:tblCellMar>
        </w:tblPrEx>
        <w:trPr>
          <w:cantSplit/>
          <w:trHeight w:val="126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 w:val="20"/>
                <w:szCs w:val="20"/>
              </w:rPr>
            </w:pPr>
            <w:r>
              <w:rPr>
                <w:b/>
                <w:color w:val="000000" w:themeColor="text1"/>
                <w:sz w:val="20"/>
                <w:szCs w:val="20"/>
              </w:rPr>
              <w:t>(三)体系运行情况</w:t>
            </w: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b/>
                <w:color w:val="000000" w:themeColor="text1"/>
                <w:sz w:val="20"/>
                <w:szCs w:val="20"/>
              </w:rPr>
            </w:pPr>
            <w:r>
              <w:rPr>
                <w:b/>
                <w:color w:val="000000" w:themeColor="text1"/>
                <w:sz w:val="20"/>
                <w:szCs w:val="20"/>
              </w:rPr>
              <w:t>1. 针对方针的管理职责评审</w:t>
            </w:r>
          </w:p>
          <w:p>
            <w:pPr>
              <w:spacing w:line="300" w:lineRule="exact"/>
              <w:ind w:left="1"/>
              <w:rPr>
                <w:b/>
                <w:color w:val="000000" w:themeColor="text1"/>
                <w:sz w:val="20"/>
                <w:szCs w:val="20"/>
              </w:rPr>
            </w:pPr>
            <w:r>
              <w:rPr>
                <w:b/>
                <w:color w:val="000000" w:themeColor="text1"/>
                <w:sz w:val="20"/>
                <w:szCs w:val="20"/>
              </w:rPr>
              <w:t>（包括针对组织宗旨，制定相关管理方针政策、确保方针为员工理解并在运营中实施，监视方针的实施并评审方针的适宜性）</w:t>
            </w:r>
          </w:p>
          <w:p>
            <w:pPr>
              <w:pStyle w:val="2"/>
              <w:ind w:firstLine="420"/>
              <w:rPr>
                <w:b/>
                <w:color w:val="000000" w:themeColor="text1"/>
                <w:sz w:val="20"/>
                <w:szCs w:val="20"/>
              </w:rPr>
            </w:pPr>
            <w:r>
              <w:rPr>
                <w:szCs w:val="22"/>
              </w:rPr>
              <w:t>根据组织宗旨制定了管理体系方针，进行了有效沟通，在管理评审时进行评审，符合要求。</w:t>
            </w:r>
          </w:p>
        </w:tc>
      </w:tr>
      <w:tr>
        <w:tblPrEx>
          <w:tblCellMar>
            <w:top w:w="0" w:type="dxa"/>
            <w:left w:w="108" w:type="dxa"/>
            <w:bottom w:w="0" w:type="dxa"/>
            <w:right w:w="108" w:type="dxa"/>
          </w:tblCellMar>
        </w:tblPrEx>
        <w:trPr>
          <w:cantSplit/>
          <w:trHeight w:val="45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ind w:left="159" w:hanging="159"/>
              <w:rPr>
                <w:b/>
                <w:color w:val="000000" w:themeColor="text1"/>
                <w:sz w:val="20"/>
                <w:szCs w:val="20"/>
              </w:rPr>
            </w:pPr>
            <w:r>
              <w:rPr>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pPr>
              <w:spacing w:line="240" w:lineRule="exact"/>
              <w:rPr>
                <w:rFonts w:ascii="楷体_GB2312" w:hAnsi="楷体_GB2312" w:eastAsia="楷体_GB2312"/>
                <w:b/>
                <w:color w:val="000000" w:themeColor="text1"/>
                <w:sz w:val="20"/>
                <w:szCs w:val="20"/>
              </w:rPr>
            </w:pPr>
          </w:p>
          <w:p>
            <w:pPr>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内部沟通的情况：内部沟通方式：</w:t>
            </w:r>
            <w:r>
              <w:rPr>
                <w:rFonts w:hint="eastAsia" w:ascii="楷体_GB2312" w:hAnsi="楷体_GB2312" w:eastAsia="楷体_GB2312"/>
                <w:b/>
                <w:color w:val="000000" w:themeColor="text1"/>
                <w:sz w:val="20"/>
                <w:szCs w:val="20"/>
              </w:rPr>
              <w:t>文件</w:t>
            </w:r>
            <w:r>
              <w:rPr>
                <w:szCs w:val="21"/>
              </w:rPr>
              <w:t>培训、会议、电话；</w:t>
            </w:r>
          </w:p>
          <w:p>
            <w:pPr>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 xml:space="preserve">                内部沟通的效果：</w:t>
            </w:r>
            <w:r>
              <w:rPr>
                <w:szCs w:val="21"/>
              </w:rPr>
              <w:t>沟通畅通；</w:t>
            </w:r>
          </w:p>
          <w:p>
            <w:pPr>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组织对外联络，关注顾客的感受情况（QMS）：</w:t>
            </w:r>
            <w:r>
              <w:rPr>
                <w:szCs w:val="21"/>
              </w:rPr>
              <w:t>定期组织顾客满意度调查和走访，</w:t>
            </w:r>
            <w:r>
              <w:rPr>
                <w:rFonts w:hint="eastAsia"/>
                <w:szCs w:val="21"/>
              </w:rPr>
              <w:t>网络或电话</w:t>
            </w:r>
            <w:r>
              <w:rPr>
                <w:szCs w:val="21"/>
              </w:rPr>
              <w:t>。</w:t>
            </w:r>
          </w:p>
          <w:p>
            <w:pPr>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外部信息的接收、成文并答复的情况（E、S填写）：</w:t>
            </w:r>
            <w:r>
              <w:rPr>
                <w:szCs w:val="21"/>
              </w:rPr>
              <w:t>参加相关部门组织的会议、网络及走访，接收相关部门下达的通知并在公司内部沟通传达。</w:t>
            </w:r>
          </w:p>
          <w:p>
            <w:pPr>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重要环境因素信息对外交流情况（EMS填写）：/</w:t>
            </w:r>
          </w:p>
          <w:p>
            <w:pPr>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 xml:space="preserve"> OHSMS事务代表协商和交流的情况（OHSMS填写）：</w:t>
            </w:r>
          </w:p>
          <w:p>
            <w:pPr>
              <w:ind w:firstLine="420"/>
              <w:rPr>
                <w:szCs w:val="22"/>
              </w:rPr>
            </w:pPr>
            <w:r>
              <w:rPr>
                <w:szCs w:val="22"/>
              </w:rPr>
              <w:t>公司通过员工选举纪毓昂为公司的职业健康安全事务代表。询问纪毓昂了解为该公司职业健康安全事务代表的职责：1）确定其与管理层协商和参与的机制；2）辨识危险源并评价风险和机遇；3）确定消除危险源和降低职业健康安全风险的措施；4）确定能力要求、培训需求、培训和培训效果评价；5）确定沟通的内容和方式；6）确定控制措施及其有效的实施和应用；7）调查事件和不符合并确定纠正措施。</w:t>
            </w:r>
          </w:p>
          <w:p>
            <w:pPr>
              <w:spacing w:line="240" w:lineRule="exact"/>
              <w:rPr>
                <w:rFonts w:ascii="楷体_GB2312" w:hAnsi="楷体_GB2312" w:eastAsia="楷体_GB2312"/>
                <w:b/>
                <w:color w:val="000000" w:themeColor="text1"/>
                <w:szCs w:val="21"/>
              </w:rPr>
            </w:pPr>
            <w:r>
              <w:rPr>
                <w:rFonts w:ascii="楷体_GB2312" w:hAnsi="楷体_GB2312" w:eastAsia="楷体_GB2312"/>
                <w:b/>
                <w:color w:val="000000" w:themeColor="text1"/>
                <w:szCs w:val="21"/>
              </w:rPr>
              <w:t>与相关方协商的情况（OHSMS填写）：</w:t>
            </w:r>
            <w:r>
              <w:rPr>
                <w:rFonts w:asciiTheme="minorEastAsia" w:hAnsiTheme="minorEastAsia"/>
                <w:szCs w:val="21"/>
              </w:rPr>
              <w:t>通过发放《告相关方书》与相关方就相关质量、环境、职业健康安全信息进行相互沟通。</w:t>
            </w:r>
          </w:p>
        </w:tc>
      </w:tr>
      <w:tr>
        <w:tblPrEx>
          <w:tblCellMar>
            <w:top w:w="0" w:type="dxa"/>
            <w:left w:w="108" w:type="dxa"/>
            <w:bottom w:w="0" w:type="dxa"/>
            <w:right w:w="108" w:type="dxa"/>
          </w:tblCellMar>
        </w:tblPrEx>
        <w:trPr>
          <w:cantSplit/>
          <w:trHeight w:val="22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3.  QMS 组织对重要过程实施控制的结果</w:t>
            </w:r>
          </w:p>
          <w:p>
            <w:pPr>
              <w:spacing w:line="240" w:lineRule="exact"/>
              <w:ind w:left="188" w:hanging="100"/>
              <w:rPr>
                <w:b/>
                <w:color w:val="000000" w:themeColor="text1"/>
                <w:sz w:val="20"/>
                <w:szCs w:val="20"/>
              </w:rPr>
            </w:pPr>
            <w:r>
              <w:rPr>
                <w:b/>
                <w:color w:val="000000" w:themeColor="text1"/>
                <w:sz w:val="20"/>
                <w:szCs w:val="20"/>
              </w:rPr>
              <w:t>(包括对QMS关键工序(过程)、特殊过程控制;评价组织对过程实施控制情况/)</w:t>
            </w:r>
          </w:p>
          <w:p>
            <w:pPr>
              <w:ind w:firstLine="420"/>
              <w:rPr>
                <w:rFonts w:ascii="宋体" w:hAnsi="宋体" w:cs="宋体"/>
                <w:szCs w:val="22"/>
              </w:rPr>
            </w:pPr>
            <w:r>
              <w:rPr>
                <w:rFonts w:hint="eastAsia" w:ascii="宋体" w:hAnsi="宋体" w:cs="宋体"/>
                <w:szCs w:val="22"/>
              </w:rPr>
              <w:t>部门提供并执行公司管理制度、技术标准和质量要求、现场作业指导书及任务书</w:t>
            </w:r>
          </w:p>
          <w:p>
            <w:pPr>
              <w:ind w:firstLine="420"/>
              <w:rPr>
                <w:rFonts w:ascii="宋体" w:hAnsi="宋体" w:cs="宋体"/>
                <w:szCs w:val="22"/>
              </w:rPr>
            </w:pPr>
            <w:r>
              <w:rPr>
                <w:rFonts w:hint="eastAsia" w:ascii="宋体" w:hAnsi="宋体" w:cs="宋体"/>
                <w:szCs w:val="22"/>
              </w:rPr>
              <w:t>产品实现流程：</w:t>
            </w:r>
          </w:p>
          <w:p>
            <w:pPr>
              <w:ind w:firstLine="420"/>
              <w:rPr>
                <w:rFonts w:ascii="宋体" w:hAnsi="宋体" w:cs="宋体"/>
                <w:szCs w:val="22"/>
              </w:rPr>
            </w:pPr>
            <w:r>
              <w:rPr>
                <w:rFonts w:hint="eastAsia" w:ascii="宋体" w:hAnsi="宋体" w:cs="宋体"/>
                <w:szCs w:val="22"/>
              </w:rPr>
              <w:t>流客户沟通</w:t>
            </w:r>
            <w:r>
              <w:rPr>
                <w:rFonts w:ascii="宋体" w:hAnsi="宋体" w:cs="宋体"/>
                <w:szCs w:val="22"/>
              </w:rPr>
              <w:t>→产品设计→</w:t>
            </w:r>
            <w:r>
              <w:rPr>
                <w:rFonts w:hint="eastAsia" w:ascii="宋体" w:hAnsi="宋体" w:cs="宋体"/>
                <w:szCs w:val="22"/>
              </w:rPr>
              <w:t>采购</w:t>
            </w:r>
            <w:r>
              <w:rPr>
                <w:rFonts w:ascii="宋体" w:hAnsi="宋体" w:cs="宋体"/>
                <w:szCs w:val="22"/>
              </w:rPr>
              <w:t>/配套</w:t>
            </w:r>
            <w:r>
              <w:rPr>
                <w:rFonts w:hint="eastAsia" w:ascii="宋体" w:hAnsi="宋体" w:cs="宋体"/>
                <w:szCs w:val="22"/>
              </w:rPr>
              <w:t>及标准</w:t>
            </w:r>
            <w:r>
              <w:rPr>
                <w:rFonts w:ascii="宋体" w:hAnsi="宋体" w:cs="宋体"/>
                <w:szCs w:val="22"/>
              </w:rPr>
              <w:t>件</w:t>
            </w:r>
            <w:r>
              <w:rPr>
                <w:rFonts w:hint="eastAsia" w:ascii="宋体" w:hAnsi="宋体" w:cs="宋体"/>
                <w:szCs w:val="22"/>
              </w:rPr>
              <w:t>、外协</w:t>
            </w:r>
            <w:r>
              <w:rPr>
                <w:rFonts w:ascii="宋体" w:hAnsi="宋体" w:cs="宋体"/>
                <w:szCs w:val="22"/>
              </w:rPr>
              <w:t>/机械加工</w:t>
            </w:r>
            <w:r>
              <w:rPr>
                <w:rFonts w:hint="eastAsia" w:ascii="宋体" w:hAnsi="宋体" w:cs="宋体"/>
                <w:szCs w:val="22"/>
              </w:rPr>
              <w:t>件</w:t>
            </w:r>
            <w:r>
              <w:rPr>
                <w:rFonts w:ascii="宋体" w:hAnsi="宋体" w:cs="宋体"/>
                <w:szCs w:val="22"/>
              </w:rPr>
              <w:t>→</w:t>
            </w:r>
            <w:r>
              <w:rPr>
                <w:rFonts w:hint="eastAsia" w:ascii="宋体" w:hAnsi="宋体" w:cs="宋体"/>
                <w:szCs w:val="22"/>
              </w:rPr>
              <w:t>采购验收</w:t>
            </w:r>
            <w:r>
              <w:rPr>
                <w:rFonts w:ascii="宋体" w:hAnsi="宋体" w:cs="宋体"/>
                <w:szCs w:val="22"/>
              </w:rPr>
              <w:t>→</w:t>
            </w:r>
            <w:r>
              <w:rPr>
                <w:rFonts w:hint="eastAsia" w:ascii="宋体" w:hAnsi="宋体" w:cs="宋体"/>
                <w:szCs w:val="22"/>
              </w:rPr>
              <w:t>领用</w:t>
            </w:r>
            <w:r>
              <w:rPr>
                <w:rFonts w:ascii="宋体" w:hAnsi="宋体" w:cs="宋体"/>
                <w:szCs w:val="22"/>
              </w:rPr>
              <w:t>→</w:t>
            </w:r>
            <w:r>
              <w:rPr>
                <w:rFonts w:hint="eastAsia" w:ascii="宋体" w:hAnsi="宋体" w:cs="宋体"/>
                <w:szCs w:val="22"/>
              </w:rPr>
              <w:t>生产</w:t>
            </w:r>
            <w:r>
              <w:rPr>
                <w:rFonts w:ascii="宋体" w:hAnsi="宋体" w:cs="宋体"/>
                <w:szCs w:val="22"/>
              </w:rPr>
              <w:t>→</w:t>
            </w:r>
            <w:r>
              <w:rPr>
                <w:rFonts w:hint="eastAsia" w:ascii="宋体" w:hAnsi="宋体" w:cs="宋体"/>
                <w:szCs w:val="22"/>
              </w:rPr>
              <w:t>安</w:t>
            </w:r>
            <w:r>
              <w:rPr>
                <w:rFonts w:ascii="宋体" w:hAnsi="宋体" w:cs="宋体"/>
                <w:szCs w:val="22"/>
              </w:rPr>
              <w:t>装→检验</w:t>
            </w:r>
            <w:r>
              <w:rPr>
                <w:rFonts w:hint="eastAsia" w:ascii="宋体" w:hAnsi="宋体" w:cs="宋体"/>
                <w:szCs w:val="22"/>
              </w:rPr>
              <w:t>验收</w:t>
            </w:r>
            <w:r>
              <w:rPr>
                <w:rFonts w:ascii="宋体" w:hAnsi="宋体" w:cs="宋体"/>
                <w:szCs w:val="22"/>
              </w:rPr>
              <w:t>（</w:t>
            </w:r>
            <w:r>
              <w:rPr>
                <w:rFonts w:hint="eastAsia" w:ascii="宋体" w:hAnsi="宋体" w:cs="宋体"/>
                <w:szCs w:val="22"/>
              </w:rPr>
              <w:t>设计确认</w:t>
            </w:r>
            <w:r>
              <w:rPr>
                <w:rFonts w:ascii="宋体" w:hAnsi="宋体" w:cs="宋体"/>
                <w:szCs w:val="22"/>
              </w:rPr>
              <w:t>）→</w:t>
            </w:r>
            <w:r>
              <w:rPr>
                <w:rFonts w:hint="eastAsia" w:ascii="宋体" w:hAnsi="宋体" w:cs="宋体"/>
                <w:szCs w:val="22"/>
              </w:rPr>
              <w:t>入库、</w:t>
            </w:r>
            <w:r>
              <w:rPr>
                <w:rFonts w:ascii="宋体" w:hAnsi="宋体" w:cs="宋体"/>
                <w:szCs w:val="22"/>
              </w:rPr>
              <w:t>出厂交付→现场安装、调试、技术服务（必要时）</w:t>
            </w:r>
          </w:p>
          <w:p>
            <w:pPr>
              <w:ind w:firstLine="420"/>
              <w:rPr>
                <w:rFonts w:ascii="宋体" w:hAnsi="宋体" w:cs="宋体"/>
                <w:szCs w:val="22"/>
              </w:rPr>
            </w:pPr>
            <w:r>
              <w:rPr>
                <w:rFonts w:hint="eastAsia" w:ascii="宋体" w:hAnsi="宋体" w:cs="宋体"/>
                <w:szCs w:val="22"/>
              </w:rPr>
              <w:t>有防火门、挡烟垂壁、防火卷帘门生产工序流程；</w:t>
            </w:r>
          </w:p>
          <w:p>
            <w:pPr>
              <w:ind w:firstLine="420"/>
              <w:rPr>
                <w:rFonts w:ascii="宋体" w:hAnsi="宋体" w:cs="宋体"/>
                <w:szCs w:val="22"/>
              </w:rPr>
            </w:pPr>
            <w:r>
              <w:rPr>
                <w:rFonts w:hint="eastAsia" w:ascii="宋体" w:hAnsi="宋体" w:cs="宋体"/>
                <w:szCs w:val="22"/>
              </w:rPr>
              <w:t>现场查看与负责人交流与实际生产和服务过程相符。</w:t>
            </w:r>
          </w:p>
          <w:p>
            <w:pPr>
              <w:ind w:firstLine="420"/>
              <w:rPr>
                <w:rFonts w:ascii="宋体" w:hAnsi="宋体" w:cs="宋体"/>
                <w:szCs w:val="22"/>
              </w:rPr>
            </w:pPr>
            <w:r>
              <w:rPr>
                <w:rFonts w:hint="eastAsia" w:ascii="宋体" w:hAnsi="宋体" w:cs="宋体"/>
                <w:szCs w:val="22"/>
              </w:rPr>
              <w:t>a) 公司和生产车间通过订单合同、图纸、产品规格型号、产品标准描述产品特性的信息。</w:t>
            </w:r>
          </w:p>
          <w:p>
            <w:pPr>
              <w:ind w:firstLine="420"/>
              <w:rPr>
                <w:rFonts w:ascii="宋体" w:hAnsi="宋体" w:cs="宋体"/>
                <w:szCs w:val="22"/>
              </w:rPr>
            </w:pPr>
            <w:r>
              <w:rPr>
                <w:rFonts w:hint="eastAsia" w:ascii="宋体" w:hAnsi="宋体" w:cs="宋体"/>
                <w:szCs w:val="22"/>
              </w:rPr>
              <w:t>b) 公司编制了产品的作业指导书、图纸、设备操作规程等文件，文件中描述了各工序的工艺内容和控制指标，作为操作人员的作业指南。</w:t>
            </w:r>
          </w:p>
          <w:p>
            <w:pPr>
              <w:ind w:firstLine="420"/>
              <w:rPr>
                <w:rFonts w:ascii="宋体" w:hAnsi="宋体" w:cs="宋体"/>
                <w:szCs w:val="22"/>
              </w:rPr>
            </w:pPr>
            <w:r>
              <w:rPr>
                <w:rFonts w:hint="eastAsia" w:ascii="宋体" w:hAnsi="宋体" w:cs="宋体"/>
                <w:szCs w:val="22"/>
              </w:rPr>
              <w:t>c) 公司为生产配备了适宜的生产设备和设施，现场观察抽查生产设备热压胶合机、成型机、冲床、切割机、台式钻床工作正常。</w:t>
            </w:r>
          </w:p>
          <w:p>
            <w:pPr>
              <w:ind w:firstLine="420"/>
              <w:rPr>
                <w:rFonts w:ascii="宋体" w:hAnsi="宋体" w:cs="宋体"/>
                <w:szCs w:val="22"/>
              </w:rPr>
            </w:pPr>
            <w:r>
              <w:rPr>
                <w:rFonts w:hint="eastAsia" w:ascii="宋体" w:hAnsi="宋体" w:cs="宋体"/>
                <w:szCs w:val="22"/>
              </w:rPr>
              <w:t>d) 公司为各工序配备了必要的监视测量设备。</w:t>
            </w:r>
          </w:p>
          <w:p>
            <w:pPr>
              <w:ind w:firstLine="420"/>
              <w:rPr>
                <w:rFonts w:ascii="宋体" w:hAnsi="宋体" w:cs="宋体"/>
                <w:szCs w:val="22"/>
              </w:rPr>
            </w:pPr>
            <w:r>
              <w:rPr>
                <w:rFonts w:hint="eastAsia" w:ascii="宋体" w:hAnsi="宋体" w:cs="宋体"/>
                <w:szCs w:val="22"/>
              </w:rPr>
              <w:t>e) 公司对生产过程和产品实施了监视和测量，并作了相应记录。</w:t>
            </w:r>
          </w:p>
          <w:p>
            <w:pPr>
              <w:ind w:firstLine="420"/>
              <w:rPr>
                <w:rFonts w:ascii="宋体" w:hAnsi="宋体" w:cs="宋体"/>
                <w:szCs w:val="22"/>
              </w:rPr>
            </w:pPr>
            <w:r>
              <w:rPr>
                <w:rFonts w:hint="eastAsia" w:ascii="宋体" w:hAnsi="宋体" w:cs="宋体"/>
                <w:szCs w:val="22"/>
              </w:rPr>
              <w:t>检验活动包括原材料检验、过程检验、成品例行检验；生产过程中使用的记录有：“进货检验记录”、“过程检验记录”、“成品例行检验记录”等，符合要求。</w:t>
            </w:r>
          </w:p>
          <w:p>
            <w:pPr>
              <w:ind w:firstLine="420"/>
              <w:rPr>
                <w:rFonts w:ascii="宋体" w:hAnsi="宋体" w:cs="宋体"/>
                <w:szCs w:val="22"/>
              </w:rPr>
            </w:pPr>
            <w:r>
              <w:rPr>
                <w:rFonts w:hint="eastAsia" w:ascii="宋体" w:hAnsi="宋体" w:cs="宋体"/>
                <w:szCs w:val="22"/>
              </w:rPr>
              <w:t>f) 质检部负责对产品的放行，办公室负责产品交付和交付后活动的实施，产品经过测试检验合格后方可放行和交付，办公室依据合同出具发货单，联系物流公司进行送货，经顾客接受签字带回公司做账。需要售后服务时由办公室负责联系售后服务工作。</w:t>
            </w:r>
          </w:p>
          <w:p>
            <w:pPr>
              <w:ind w:firstLine="420"/>
              <w:rPr>
                <w:rFonts w:ascii="宋体" w:hAnsi="宋体" w:cs="宋体"/>
                <w:szCs w:val="22"/>
              </w:rPr>
            </w:pPr>
            <w:r>
              <w:rPr>
                <w:rFonts w:hint="eastAsia" w:ascii="宋体" w:hAnsi="宋体" w:cs="宋体"/>
                <w:szCs w:val="22"/>
              </w:rPr>
              <w:t>g）为生产过程配备了必要的人员，有电焊工、电工特殊工种。</w:t>
            </w:r>
          </w:p>
          <w:p>
            <w:pPr>
              <w:ind w:firstLine="420"/>
              <w:rPr>
                <w:rFonts w:ascii="宋体" w:hAnsi="宋体" w:cs="宋体"/>
                <w:szCs w:val="22"/>
              </w:rPr>
            </w:pPr>
            <w:r>
              <w:rPr>
                <w:rFonts w:ascii="宋体" w:hAnsi="宋体" w:cs="宋体"/>
                <w:szCs w:val="22"/>
              </w:rPr>
              <w:t>h</w:t>
            </w:r>
            <w:r>
              <w:rPr>
                <w:rFonts w:hint="eastAsia" w:ascii="宋体" w:hAnsi="宋体" w:cs="宋体"/>
                <w:szCs w:val="22"/>
              </w:rPr>
              <w:t>）通过日常班前会和技能培训提高操作工的熟练程度和质量意识。</w:t>
            </w:r>
          </w:p>
          <w:p>
            <w:pPr>
              <w:ind w:firstLine="420"/>
              <w:rPr>
                <w:b/>
                <w:color w:val="000000" w:themeColor="text1"/>
                <w:sz w:val="20"/>
                <w:szCs w:val="20"/>
              </w:rPr>
            </w:pPr>
            <w:r>
              <w:rPr>
                <w:rFonts w:hint="eastAsia" w:ascii="宋体" w:hAnsi="宋体" w:cs="宋体"/>
                <w:szCs w:val="22"/>
              </w:rPr>
              <w:t>I）生产中心负责防火卷帘门关键过程帘布缝隙、帘面复合；挡烟垂壁关键过程填芯胶合；本公司的生产过程中需确认的过程为：防火卷帘门焊接过程，已进行过程确认。</w:t>
            </w:r>
          </w:p>
        </w:tc>
      </w:tr>
      <w:tr>
        <w:tblPrEx>
          <w:tblCellMar>
            <w:top w:w="0" w:type="dxa"/>
            <w:left w:w="108" w:type="dxa"/>
            <w:bottom w:w="0" w:type="dxa"/>
            <w:right w:w="108" w:type="dxa"/>
          </w:tblCellMar>
        </w:tblPrEx>
        <w:trPr>
          <w:cantSplit/>
          <w:trHeight w:val="149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jc w:val="left"/>
              <w:rPr>
                <w:b/>
                <w:sz w:val="20"/>
                <w:szCs w:val="20"/>
                <w:highlight w:val="none"/>
              </w:rPr>
            </w:pPr>
            <w:r>
              <w:rPr>
                <w:b/>
                <w:sz w:val="20"/>
                <w:szCs w:val="20"/>
              </w:rPr>
              <w:t>4</w:t>
            </w:r>
            <w:r>
              <w:rPr>
                <w:b/>
                <w:sz w:val="20"/>
                <w:szCs w:val="20"/>
                <w:highlight w:val="none"/>
              </w:rPr>
              <w:t>.QMS产品/服务的标准、协议/规范的有效性以及产品/服务质量符合要求，向顾客稳定提供合格产品的情况；</w:t>
            </w:r>
          </w:p>
          <w:p>
            <w:pPr>
              <w:spacing w:line="280" w:lineRule="exact"/>
              <w:ind w:firstLine="420" w:firstLineChars="200"/>
              <w:rPr>
                <w:rFonts w:ascii="宋体" w:hAnsi="宋体" w:cs="宋体"/>
                <w:szCs w:val="22"/>
              </w:rPr>
            </w:pPr>
            <w:r>
              <w:rPr>
                <w:rFonts w:hint="eastAsia" w:ascii="宋体" w:hAnsi="宋体" w:cs="宋体"/>
                <w:szCs w:val="22"/>
                <w:highlight w:val="none"/>
              </w:rPr>
              <w:t>公司提</w:t>
            </w:r>
            <w:r>
              <w:rPr>
                <w:rFonts w:hint="eastAsia" w:ascii="宋体" w:hAnsi="宋体" w:cs="宋体"/>
                <w:szCs w:val="22"/>
              </w:rPr>
              <w:t>供并执行公司管理制度、技术标准和检验验收标准、检验规范等，产品质量标准防火卷帘：GB14102-2005、防 火 门：GB12955-2008、挡烟垂壁：GA533-2012</w:t>
            </w:r>
            <w:r>
              <w:rPr>
                <w:rFonts w:ascii="宋体" w:hAnsi="宋体" w:cs="宋体"/>
                <w:szCs w:val="22"/>
              </w:rPr>
              <w:t>和客户要求。</w:t>
            </w:r>
          </w:p>
          <w:p>
            <w:pPr>
              <w:spacing w:line="280" w:lineRule="exact"/>
              <w:ind w:firstLine="420" w:firstLineChars="200"/>
              <w:rPr>
                <w:rFonts w:ascii="宋体" w:hAnsi="宋体" w:cs="宋体"/>
                <w:szCs w:val="22"/>
              </w:rPr>
            </w:pPr>
            <w:r>
              <w:rPr>
                <w:rFonts w:ascii="宋体" w:hAnsi="宋体" w:cs="宋体"/>
                <w:szCs w:val="22"/>
              </w:rPr>
              <w:t>提供了</w:t>
            </w:r>
            <w:r>
              <w:rPr>
                <w:rFonts w:hint="eastAsia" w:ascii="宋体" w:hAnsi="宋体" w:cs="宋体"/>
                <w:szCs w:val="22"/>
              </w:rPr>
              <w:t>进货检验、过程检验、成</w:t>
            </w:r>
            <w:r>
              <w:rPr>
                <w:rFonts w:ascii="宋体" w:hAnsi="宋体" w:cs="宋体"/>
                <w:szCs w:val="22"/>
              </w:rPr>
              <w:t>品</w:t>
            </w:r>
            <w:r>
              <w:rPr>
                <w:rFonts w:hint="eastAsia" w:ascii="宋体" w:hAnsi="宋体" w:cs="宋体"/>
                <w:szCs w:val="22"/>
              </w:rPr>
              <w:t>例行</w:t>
            </w:r>
            <w:r>
              <w:rPr>
                <w:rFonts w:ascii="宋体" w:hAnsi="宋体" w:cs="宋体"/>
                <w:szCs w:val="22"/>
              </w:rPr>
              <w:t>检验记录</w:t>
            </w:r>
            <w:r>
              <w:rPr>
                <w:rFonts w:hint="eastAsia" w:ascii="宋体" w:hAnsi="宋体" w:cs="宋体"/>
                <w:szCs w:val="22"/>
              </w:rPr>
              <w:t>并且有外检报告单</w:t>
            </w:r>
            <w:r>
              <w:rPr>
                <w:rFonts w:ascii="宋体" w:hAnsi="宋体" w:cs="宋体"/>
                <w:szCs w:val="22"/>
              </w:rPr>
              <w:t>，</w:t>
            </w:r>
            <w:r>
              <w:rPr>
                <w:rFonts w:hint="eastAsia" w:ascii="宋体" w:hAnsi="宋体" w:cs="宋体"/>
                <w:szCs w:val="22"/>
              </w:rPr>
              <w:t>自体系运行以来，</w:t>
            </w:r>
            <w:r>
              <w:rPr>
                <w:rFonts w:ascii="宋体" w:hAnsi="宋体" w:cs="宋体"/>
                <w:szCs w:val="22"/>
              </w:rPr>
              <w:t>产品</w:t>
            </w:r>
            <w:r>
              <w:rPr>
                <w:rFonts w:hint="eastAsia" w:ascii="宋体" w:hAnsi="宋体" w:cs="宋体"/>
                <w:szCs w:val="22"/>
              </w:rPr>
              <w:t>质量</w:t>
            </w:r>
            <w:r>
              <w:rPr>
                <w:rFonts w:ascii="宋体" w:hAnsi="宋体" w:cs="宋体"/>
                <w:szCs w:val="22"/>
              </w:rPr>
              <w:t>满足顾客要求</w:t>
            </w:r>
            <w:r>
              <w:rPr>
                <w:rFonts w:hint="eastAsia" w:ascii="宋体" w:hAnsi="宋体" w:cs="宋体"/>
                <w:szCs w:val="22"/>
              </w:rPr>
              <w:t>和标准要求</w:t>
            </w:r>
            <w:r>
              <w:rPr>
                <w:rFonts w:ascii="宋体" w:hAnsi="宋体" w:cs="宋体"/>
                <w:szCs w:val="22"/>
              </w:rPr>
              <w:t>；</w:t>
            </w:r>
          </w:p>
          <w:p>
            <w:pPr>
              <w:spacing w:line="280" w:lineRule="exact"/>
              <w:ind w:firstLine="420" w:firstLineChars="200"/>
              <w:rPr>
                <w:rFonts w:ascii="宋体" w:hAnsi="宋体" w:cs="宋体"/>
                <w:szCs w:val="22"/>
              </w:rPr>
            </w:pPr>
            <w:r>
              <w:rPr>
                <w:rFonts w:hint="eastAsia" w:ascii="宋体" w:hAnsi="宋体" w:cs="宋体"/>
                <w:szCs w:val="22"/>
              </w:rPr>
              <w:t>但成品例行检验记录填写需加强改进，审核发现海信正阳中心项目1#、2#楼 垂直卷-320</w:t>
            </w:r>
            <w:r>
              <w:rPr>
                <w:rFonts w:ascii="宋体" w:hAnsi="宋体" w:cs="宋体"/>
                <w:szCs w:val="22"/>
              </w:rPr>
              <w:t xml:space="preserve"> </w:t>
            </w:r>
            <w:r>
              <w:rPr>
                <w:rFonts w:hint="eastAsia" w:ascii="宋体" w:hAnsi="宋体" w:cs="宋体"/>
                <w:szCs w:val="22"/>
              </w:rPr>
              <w:t>生产数量25</w:t>
            </w:r>
            <w:r>
              <w:rPr>
                <w:rFonts w:ascii="宋体" w:hAnsi="宋体" w:cs="宋体"/>
                <w:szCs w:val="22"/>
              </w:rPr>
              <w:t xml:space="preserve"> </w:t>
            </w:r>
            <w:r>
              <w:rPr>
                <w:rFonts w:hint="eastAsia" w:ascii="宋体" w:hAnsi="宋体" w:cs="宋体"/>
                <w:szCs w:val="22"/>
              </w:rPr>
              <w:t xml:space="preserve">生产批号20201029，有成品例行检验记录 </w:t>
            </w:r>
            <w:r>
              <w:rPr>
                <w:rFonts w:ascii="宋体" w:hAnsi="宋体" w:cs="宋体"/>
                <w:szCs w:val="22"/>
              </w:rPr>
              <w:t xml:space="preserve"> </w:t>
            </w:r>
            <w:r>
              <w:rPr>
                <w:rFonts w:hint="eastAsia" w:ascii="宋体" w:hAnsi="宋体" w:cs="宋体"/>
                <w:szCs w:val="22"/>
              </w:rPr>
              <w:t>有公司成品例行检验记录、有检验项目单项判定，但无综合判定，且无批次信息记录；已提出书面不符合项。</w:t>
            </w:r>
          </w:p>
          <w:p>
            <w:pPr>
              <w:spacing w:line="240" w:lineRule="exact"/>
              <w:rPr>
                <w:b/>
                <w:color w:val="000000" w:themeColor="text1"/>
                <w:sz w:val="20"/>
                <w:szCs w:val="20"/>
              </w:rPr>
            </w:pPr>
            <w:r>
              <w:rPr>
                <w:b/>
                <w:color w:val="000000" w:themeColor="text1"/>
                <w:sz w:val="20"/>
                <w:szCs w:val="20"/>
              </w:rPr>
              <w:t>(应说明相关证据)：</w:t>
            </w:r>
          </w:p>
        </w:tc>
      </w:tr>
      <w:tr>
        <w:tblPrEx>
          <w:tblCellMar>
            <w:top w:w="0" w:type="dxa"/>
            <w:left w:w="108" w:type="dxa"/>
            <w:bottom w:w="0" w:type="dxa"/>
            <w:right w:w="108" w:type="dxa"/>
          </w:tblCellMar>
        </w:tblPrEx>
        <w:trPr>
          <w:cantSplit/>
          <w:trHeight w:val="9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5 .QMS国家/地方技术监督部门监测（检测、委托检测、定期监测、型式试验等）、抽查结果</w:t>
            </w:r>
          </w:p>
          <w:p>
            <w:pPr>
              <w:ind w:firstLine="420"/>
              <w:rPr>
                <w:rFonts w:ascii="宋体" w:hAnsi="宋体" w:cs="宋体"/>
                <w:szCs w:val="22"/>
              </w:rPr>
            </w:pPr>
            <w:r>
              <w:rPr>
                <w:rFonts w:ascii="宋体" w:hAnsi="宋体" w:cs="宋体"/>
                <w:szCs w:val="22"/>
              </w:rPr>
              <w:t>无。</w:t>
            </w:r>
          </w:p>
          <w:p>
            <w:pPr>
              <w:spacing w:line="300" w:lineRule="exact"/>
              <w:ind w:firstLine="197"/>
              <w:rPr>
                <w:b/>
                <w:color w:val="000000" w:themeColor="text1"/>
                <w:sz w:val="20"/>
                <w:szCs w:val="20"/>
              </w:rPr>
            </w:pPr>
            <w:r>
              <w:rPr>
                <w:b/>
                <w:color w:val="000000" w:themeColor="text1"/>
                <w:sz w:val="20"/>
                <w:szCs w:val="20"/>
              </w:rPr>
              <w:t>（附相关证据）：</w:t>
            </w:r>
          </w:p>
        </w:tc>
      </w:tr>
      <w:tr>
        <w:tblPrEx>
          <w:tblCellMar>
            <w:top w:w="0" w:type="dxa"/>
            <w:left w:w="108" w:type="dxa"/>
            <w:bottom w:w="0" w:type="dxa"/>
            <w:right w:w="108" w:type="dxa"/>
          </w:tblCellMar>
        </w:tblPrEx>
        <w:trPr>
          <w:cantSplit/>
          <w:trHeight w:val="84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pacing w:val="-8"/>
                <w:sz w:val="20"/>
                <w:szCs w:val="20"/>
              </w:rPr>
            </w:pPr>
            <w:r>
              <w:rPr>
                <w:b/>
                <w:color w:val="000000" w:themeColor="text1"/>
                <w:sz w:val="20"/>
                <w:szCs w:val="20"/>
              </w:rPr>
              <w:t xml:space="preserve">6. </w:t>
            </w:r>
            <w:r>
              <w:rPr>
                <w:b/>
                <w:color w:val="000000" w:themeColor="text1"/>
                <w:spacing w:val="-8"/>
                <w:sz w:val="20"/>
                <w:szCs w:val="20"/>
              </w:rPr>
              <w:t>不合格品/项的识别、控制;</w:t>
            </w:r>
          </w:p>
          <w:p>
            <w:pPr>
              <w:spacing w:line="240" w:lineRule="exact"/>
              <w:ind w:firstLine="210"/>
              <w:jc w:val="left"/>
              <w:rPr>
                <w:rFonts w:ascii="宋体" w:hAnsi="宋体" w:cs="宋体"/>
                <w:szCs w:val="22"/>
              </w:rPr>
            </w:pPr>
            <w:r>
              <w:rPr>
                <w:rFonts w:ascii="宋体" w:hAnsi="宋体" w:cs="宋体"/>
                <w:szCs w:val="22"/>
              </w:rPr>
              <w:t>提供《不合格品控制程序》中规定对不合格品的标识、记录、隔离、记录和处置的控制要求。</w:t>
            </w:r>
          </w:p>
          <w:p>
            <w:pPr>
              <w:spacing w:line="240" w:lineRule="exact"/>
              <w:ind w:firstLine="210"/>
              <w:rPr>
                <w:b/>
                <w:color w:val="000000" w:themeColor="text1"/>
                <w:sz w:val="20"/>
                <w:szCs w:val="20"/>
              </w:rPr>
            </w:pPr>
            <w:r>
              <w:rPr>
                <w:rFonts w:hint="eastAsia" w:ascii="宋体" w:hAnsi="宋体" w:cs="宋体"/>
                <w:szCs w:val="22"/>
              </w:rPr>
              <w:t>进货</w:t>
            </w:r>
            <w:r>
              <w:rPr>
                <w:rFonts w:ascii="宋体" w:hAnsi="宋体" w:cs="宋体"/>
                <w:szCs w:val="22"/>
              </w:rPr>
              <w:t>检验中发现的不合格，要求做好相应的标识，并及时通知采购人员作退/换货处理</w:t>
            </w:r>
          </w:p>
        </w:tc>
      </w:tr>
      <w:tr>
        <w:tblPrEx>
          <w:tblCellMar>
            <w:top w:w="0" w:type="dxa"/>
            <w:left w:w="108" w:type="dxa"/>
            <w:bottom w:w="0" w:type="dxa"/>
            <w:right w:w="108" w:type="dxa"/>
          </w:tblCellMar>
        </w:tblPrEx>
        <w:trPr>
          <w:cantSplit/>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7. EMS组织对重要环境因素实施控制的结果</w:t>
            </w:r>
          </w:p>
          <w:p>
            <w:pPr>
              <w:spacing w:line="240" w:lineRule="exact"/>
              <w:rPr>
                <w:b/>
                <w:color w:val="000000" w:themeColor="text1"/>
                <w:sz w:val="20"/>
                <w:szCs w:val="20"/>
              </w:rPr>
            </w:pPr>
            <w:r>
              <w:rPr>
                <w:b/>
                <w:color w:val="000000" w:themeColor="text1"/>
                <w:sz w:val="20"/>
                <w:szCs w:val="20"/>
              </w:rPr>
              <w:t>（EMS对重要环境因素控制，重大环境因素对周边环境产生的影响及控制;对相关方施加影响）</w:t>
            </w:r>
          </w:p>
          <w:p>
            <w:pPr>
              <w:spacing w:line="240" w:lineRule="exact"/>
              <w:ind w:firstLine="420"/>
              <w:rPr>
                <w:b/>
                <w:color w:val="000000" w:themeColor="text1"/>
                <w:sz w:val="20"/>
                <w:szCs w:val="20"/>
              </w:rPr>
            </w:pPr>
            <w:r>
              <w:rPr>
                <w:b/>
                <w:color w:val="000000" w:themeColor="text1"/>
                <w:sz w:val="20"/>
                <w:szCs w:val="20"/>
              </w:rPr>
              <w:t>/</w:t>
            </w:r>
          </w:p>
        </w:tc>
      </w:tr>
      <w:tr>
        <w:tblPrEx>
          <w:tblCellMar>
            <w:top w:w="0" w:type="dxa"/>
            <w:left w:w="108" w:type="dxa"/>
            <w:bottom w:w="0" w:type="dxa"/>
            <w:right w:w="108" w:type="dxa"/>
          </w:tblCellMar>
        </w:tblPrEx>
        <w:trPr>
          <w:cantSplit/>
          <w:trHeight w:val="126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8. OHSMS组织对不可接受风险实施控制的结果</w:t>
            </w:r>
          </w:p>
          <w:p>
            <w:pPr>
              <w:spacing w:line="240" w:lineRule="exact"/>
              <w:ind w:firstLine="420" w:firstLineChars="200"/>
              <w:rPr>
                <w:rFonts w:ascii="宋体" w:hAnsi="宋体" w:cs="宋体"/>
                <w:szCs w:val="22"/>
              </w:rPr>
            </w:pPr>
            <w:r>
              <w:rPr>
                <w:rFonts w:hint="eastAsia" w:ascii="宋体" w:hAnsi="宋体" w:cs="宋体"/>
                <w:szCs w:val="22"/>
              </w:rPr>
              <w:t>提供并执行《</w:t>
            </w:r>
            <w:r>
              <w:fldChar w:fldCharType="begin"/>
            </w:r>
            <w:r>
              <w:instrText xml:space="preserve"> HYPERLINK \l "消防管理控制程序" </w:instrText>
            </w:r>
            <w:r>
              <w:fldChar w:fldCharType="separate"/>
            </w:r>
            <w:r>
              <w:rPr>
                <w:rFonts w:ascii="宋体" w:hAnsi="宋体" w:cs="宋体"/>
                <w:szCs w:val="22"/>
              </w:rPr>
              <w:t>消防管理控制程序</w:t>
            </w:r>
            <w:r>
              <w:rPr>
                <w:rFonts w:ascii="宋体" w:hAnsi="宋体" w:cs="宋体"/>
                <w:szCs w:val="22"/>
              </w:rPr>
              <w:fldChar w:fldCharType="end"/>
            </w:r>
            <w:r>
              <w:rPr>
                <w:rFonts w:ascii="宋体" w:hAnsi="宋体" w:cs="宋体"/>
                <w:szCs w:val="22"/>
              </w:rPr>
              <w:t>》、《</w:t>
            </w:r>
            <w:r>
              <w:fldChar w:fldCharType="begin"/>
            </w:r>
            <w:r>
              <w:instrText xml:space="preserve"> HYPERLINK \l "职工职业性健康管理程序" </w:instrText>
            </w:r>
            <w:r>
              <w:fldChar w:fldCharType="separate"/>
            </w:r>
            <w:r>
              <w:rPr>
                <w:rFonts w:ascii="宋体" w:hAnsi="宋体" w:cs="宋体"/>
                <w:szCs w:val="22"/>
              </w:rPr>
              <w:t>员工职业性健康管理程序</w:t>
            </w:r>
            <w:r>
              <w:rPr>
                <w:rFonts w:ascii="宋体" w:hAnsi="宋体" w:cs="宋体"/>
                <w:szCs w:val="22"/>
              </w:rPr>
              <w:fldChar w:fldCharType="end"/>
            </w:r>
            <w:r>
              <w:rPr>
                <w:rFonts w:ascii="宋体" w:hAnsi="宋体" w:cs="宋体"/>
                <w:szCs w:val="22"/>
              </w:rPr>
              <w:t>》、《</w:t>
            </w:r>
            <w:r>
              <w:fldChar w:fldCharType="begin"/>
            </w:r>
            <w:r>
              <w:instrText xml:space="preserve"> HYPERLINK \l "安全防护管理程序" </w:instrText>
            </w:r>
            <w:r>
              <w:fldChar w:fldCharType="separate"/>
            </w:r>
            <w:r>
              <w:rPr>
                <w:rFonts w:ascii="宋体" w:hAnsi="宋体" w:cs="宋体"/>
                <w:szCs w:val="22"/>
              </w:rPr>
              <w:t>安全防护管理程序</w:t>
            </w:r>
            <w:r>
              <w:rPr>
                <w:rFonts w:ascii="宋体" w:hAnsi="宋体" w:cs="宋体"/>
                <w:szCs w:val="22"/>
              </w:rPr>
              <w:fldChar w:fldCharType="end"/>
            </w:r>
            <w:r>
              <w:rPr>
                <w:rFonts w:ascii="宋体" w:hAnsi="宋体" w:cs="宋体"/>
                <w:szCs w:val="22"/>
              </w:rPr>
              <w:t>》、《</w:t>
            </w:r>
            <w:r>
              <w:fldChar w:fldCharType="begin"/>
            </w:r>
            <w:r>
              <w:instrText xml:space="preserve"> HYPERLINK \l "特种作业管理程序" </w:instrText>
            </w:r>
            <w:r>
              <w:fldChar w:fldCharType="separate"/>
            </w:r>
            <w:r>
              <w:rPr>
                <w:rFonts w:ascii="宋体" w:hAnsi="宋体" w:cs="宋体"/>
                <w:szCs w:val="22"/>
              </w:rPr>
              <w:t>特种作业管理程序</w:t>
            </w:r>
            <w:r>
              <w:rPr>
                <w:rFonts w:ascii="宋体" w:hAnsi="宋体" w:cs="宋体"/>
                <w:szCs w:val="22"/>
              </w:rPr>
              <w:fldChar w:fldCharType="end"/>
            </w:r>
            <w:r>
              <w:rPr>
                <w:rFonts w:ascii="宋体" w:hAnsi="宋体" w:cs="宋体"/>
                <w:szCs w:val="22"/>
              </w:rPr>
              <w:t>》、《</w:t>
            </w:r>
            <w:r>
              <w:fldChar w:fldCharType="begin"/>
            </w:r>
            <w:r>
              <w:instrText xml:space="preserve"> HYPERLINK \l "安全设施管理程序" </w:instrText>
            </w:r>
            <w:r>
              <w:fldChar w:fldCharType="separate"/>
            </w:r>
            <w:r>
              <w:rPr>
                <w:rFonts w:ascii="宋体" w:hAnsi="宋体" w:cs="宋体"/>
                <w:szCs w:val="22"/>
              </w:rPr>
              <w:t>安全设施管理程序</w:t>
            </w:r>
            <w:r>
              <w:rPr>
                <w:rFonts w:ascii="宋体" w:hAnsi="宋体" w:cs="宋体"/>
                <w:szCs w:val="22"/>
              </w:rPr>
              <w:fldChar w:fldCharType="end"/>
            </w:r>
            <w:r>
              <w:rPr>
                <w:rFonts w:ascii="宋体" w:hAnsi="宋体" w:cs="宋体"/>
                <w:szCs w:val="22"/>
              </w:rPr>
              <w:t>》、《</w:t>
            </w:r>
            <w:r>
              <w:fldChar w:fldCharType="begin"/>
            </w:r>
            <w:r>
              <w:instrText xml:space="preserve"> HYPERLINK \l "交通安全管理程序" </w:instrText>
            </w:r>
            <w:r>
              <w:fldChar w:fldCharType="separate"/>
            </w:r>
            <w:r>
              <w:rPr>
                <w:rFonts w:ascii="宋体" w:hAnsi="宋体" w:cs="宋体"/>
                <w:szCs w:val="22"/>
              </w:rPr>
              <w:t>交通安全管理程序</w:t>
            </w:r>
            <w:r>
              <w:rPr>
                <w:rFonts w:ascii="宋体" w:hAnsi="宋体" w:cs="宋体"/>
                <w:szCs w:val="22"/>
              </w:rPr>
              <w:fldChar w:fldCharType="end"/>
            </w:r>
            <w:r>
              <w:rPr>
                <w:rFonts w:ascii="宋体" w:hAnsi="宋体" w:cs="宋体"/>
                <w:szCs w:val="22"/>
              </w:rPr>
              <w:t>》、《</w:t>
            </w:r>
            <w:r>
              <w:rPr>
                <w:rFonts w:hint="eastAsia" w:ascii="宋体" w:hAnsi="宋体" w:cs="宋体"/>
                <w:szCs w:val="22"/>
              </w:rPr>
              <w:t>消防管理控制程序</w:t>
            </w:r>
            <w:r>
              <w:rPr>
                <w:rFonts w:ascii="宋体" w:hAnsi="宋体" w:cs="宋体"/>
                <w:szCs w:val="22"/>
              </w:rPr>
              <w:t>》、《</w:t>
            </w:r>
            <w:r>
              <w:rPr>
                <w:rFonts w:hint="eastAsia" w:ascii="宋体" w:hAnsi="宋体" w:cs="宋体"/>
                <w:szCs w:val="22"/>
              </w:rPr>
              <w:t>安全设施管理程序</w:t>
            </w:r>
            <w:r>
              <w:rPr>
                <w:rFonts w:ascii="宋体" w:hAnsi="宋体" w:cs="宋体"/>
                <w:szCs w:val="22"/>
              </w:rPr>
              <w:t>》</w:t>
            </w:r>
            <w:r>
              <w:rPr>
                <w:rFonts w:hint="eastAsia" w:ascii="宋体" w:hAnsi="宋体" w:cs="宋体"/>
                <w:szCs w:val="22"/>
              </w:rPr>
              <w:t>等安全制度；</w:t>
            </w:r>
          </w:p>
          <w:p>
            <w:pPr>
              <w:spacing w:line="240" w:lineRule="exact"/>
              <w:ind w:firstLine="420" w:firstLineChars="200"/>
              <w:rPr>
                <w:rFonts w:ascii="宋体" w:hAnsi="宋体" w:cs="宋体"/>
                <w:szCs w:val="22"/>
              </w:rPr>
            </w:pPr>
            <w:r>
              <w:rPr>
                <w:rFonts w:hint="eastAsia" w:ascii="宋体" w:hAnsi="宋体" w:cs="宋体"/>
                <w:szCs w:val="22"/>
              </w:rPr>
              <w:t>公司实施安全生产责任制，明确重要岗位安全责任，及时对全员进行安全教育、制度和安全操作规程、应急知识培训学习，提高技能和意识；新员工首先进行安全教育再上岗；</w:t>
            </w:r>
          </w:p>
          <w:p>
            <w:pPr>
              <w:spacing w:line="240" w:lineRule="exact"/>
              <w:ind w:firstLine="420" w:firstLineChars="200"/>
              <w:rPr>
                <w:rFonts w:ascii="宋体" w:hAnsi="宋体" w:cs="宋体"/>
                <w:szCs w:val="22"/>
              </w:rPr>
            </w:pPr>
            <w:r>
              <w:rPr>
                <w:rFonts w:hint="eastAsia" w:ascii="宋体" w:hAnsi="宋体" w:cs="宋体"/>
                <w:szCs w:val="22"/>
              </w:rPr>
              <w:t>特种作业人员必须持证上岗，在生产中要加强安全监督和实施管理措施，执行《叉车安全操作规程》、《起重机安全操作规程》。</w:t>
            </w:r>
          </w:p>
          <w:p>
            <w:pPr>
              <w:spacing w:line="240" w:lineRule="exact"/>
              <w:ind w:firstLine="420" w:firstLineChars="200"/>
              <w:rPr>
                <w:rFonts w:ascii="宋体" w:hAnsi="宋体" w:cs="宋体"/>
                <w:szCs w:val="22"/>
              </w:rPr>
            </w:pPr>
            <w:r>
              <w:rPr>
                <w:rFonts w:hint="eastAsia" w:ascii="宋体" w:hAnsi="宋体" w:cs="宋体"/>
                <w:szCs w:val="22"/>
              </w:rPr>
              <w:t>与起重机、叉车操作工交谈，熟悉起重机操作要求，能熟练操作。</w:t>
            </w:r>
          </w:p>
          <w:p>
            <w:pPr>
              <w:spacing w:line="240" w:lineRule="exact"/>
              <w:ind w:firstLine="420" w:firstLineChars="200"/>
              <w:rPr>
                <w:rFonts w:ascii="宋体" w:hAnsi="宋体" w:cs="宋体"/>
                <w:szCs w:val="22"/>
              </w:rPr>
            </w:pPr>
            <w:r>
              <w:rPr>
                <w:rFonts w:hint="eastAsia" w:ascii="宋体" w:hAnsi="宋体" w:cs="宋体"/>
                <w:szCs w:val="22"/>
              </w:rPr>
              <w:t>用电安全管理：公司设专业电工，负责安全用电检查，禁止私拉电线，私设用电设施，配电箱、用电设备日常注意维护检查确保正常完好，采用绝缘装置，漏电保护装置；现场观察生产车间内现场电线布线合理，电线均处于完好状态，设备有接地及保护装置，控制柜及漏电保护器状态良好。</w:t>
            </w:r>
          </w:p>
          <w:p>
            <w:pPr>
              <w:spacing w:line="240" w:lineRule="exact"/>
              <w:ind w:firstLine="420" w:firstLineChars="200"/>
              <w:rPr>
                <w:rFonts w:ascii="宋体" w:hAnsi="宋体" w:cs="宋体"/>
                <w:szCs w:val="22"/>
              </w:rPr>
            </w:pPr>
            <w:r>
              <w:rPr>
                <w:rFonts w:hint="eastAsia" w:ascii="宋体" w:hAnsi="宋体" w:cs="宋体"/>
                <w:szCs w:val="22"/>
              </w:rPr>
              <w:t>防人员伤害管理：开机前，必须确认设备安全正常；正确安全操作设备，发现异常及时停机、反馈或处理；规范配戴防护用品；安全标准操作；设备设施增加防护罩或网，无关人员禁止接触；物品定置放置，作业区、人流、车流分离；物料存放区限高；</w:t>
            </w:r>
          </w:p>
          <w:p>
            <w:pPr>
              <w:spacing w:line="240" w:lineRule="exact"/>
              <w:ind w:firstLine="420" w:firstLineChars="200"/>
              <w:rPr>
                <w:rFonts w:ascii="宋体" w:hAnsi="宋体" w:cs="宋体"/>
                <w:szCs w:val="22"/>
              </w:rPr>
            </w:pPr>
            <w:r>
              <w:rPr>
                <w:rFonts w:hint="eastAsia" w:ascii="宋体" w:hAnsi="宋体" w:cs="宋体"/>
                <w:szCs w:val="22"/>
              </w:rPr>
              <w:t>能提供防止员工意外伤害加重的急救药品如创可贴、杀菌药水，防控疫情消毒液及口罩；员工饮用水为纯净水通过饮水机饮用。</w:t>
            </w:r>
          </w:p>
          <w:p>
            <w:pPr>
              <w:spacing w:line="240" w:lineRule="exact"/>
              <w:ind w:firstLine="420" w:firstLineChars="200"/>
              <w:rPr>
                <w:rFonts w:ascii="宋体" w:hAnsi="宋体" w:cs="宋体"/>
                <w:szCs w:val="22"/>
              </w:rPr>
            </w:pPr>
            <w:r>
              <w:rPr>
                <w:rFonts w:hint="eastAsia" w:ascii="宋体" w:hAnsi="宋体" w:cs="宋体"/>
                <w:szCs w:val="22"/>
              </w:rPr>
              <w:t>劳保用品管理：</w:t>
            </w:r>
          </w:p>
          <w:p>
            <w:pPr>
              <w:spacing w:line="240" w:lineRule="exact"/>
              <w:ind w:firstLine="420" w:firstLineChars="200"/>
              <w:rPr>
                <w:rFonts w:ascii="宋体" w:hAnsi="宋体" w:cs="宋体"/>
                <w:szCs w:val="22"/>
              </w:rPr>
            </w:pPr>
            <w:r>
              <w:rPr>
                <w:rFonts w:hint="eastAsia" w:ascii="宋体" w:hAnsi="宋体" w:cs="宋体"/>
                <w:szCs w:val="22"/>
              </w:rPr>
              <w:t>有2021年劳动保护用品标准：服装、手套（橡胶/线）、口罩、安全冒、橡胶鞋，明确操作工、后勤人员及管理人员配备标准，按标准执行发放，2020</w:t>
            </w:r>
            <w:r>
              <w:rPr>
                <w:rFonts w:ascii="宋体" w:hAnsi="宋体" w:cs="宋体"/>
                <w:szCs w:val="22"/>
              </w:rPr>
              <w:t>.12.30</w:t>
            </w:r>
            <w:r>
              <w:rPr>
                <w:rFonts w:hint="eastAsia" w:ascii="宋体" w:hAnsi="宋体" w:cs="宋体"/>
                <w:szCs w:val="22"/>
              </w:rPr>
              <w:t>；</w:t>
            </w:r>
          </w:p>
          <w:p>
            <w:pPr>
              <w:spacing w:line="240" w:lineRule="exact"/>
              <w:ind w:firstLine="420" w:firstLineChars="200"/>
              <w:rPr>
                <w:rFonts w:ascii="宋体" w:hAnsi="宋体" w:cs="宋体"/>
                <w:szCs w:val="22"/>
              </w:rPr>
            </w:pPr>
            <w:r>
              <w:rPr>
                <w:rFonts w:hint="eastAsia" w:ascii="宋体" w:hAnsi="宋体" w:cs="宋体"/>
                <w:szCs w:val="22"/>
              </w:rPr>
              <w:t>噪声伤害管理：加强设备维护保养，确保防护设施正常，操作人员佩戴耳塞；</w:t>
            </w:r>
          </w:p>
          <w:p>
            <w:pPr>
              <w:spacing w:line="240" w:lineRule="exact"/>
              <w:ind w:firstLine="210"/>
              <w:rPr>
                <w:rFonts w:ascii="宋体" w:hAnsi="宋体" w:cs="宋体"/>
                <w:szCs w:val="22"/>
              </w:rPr>
            </w:pPr>
            <w:r>
              <w:rPr>
                <w:rFonts w:hint="eastAsia" w:ascii="宋体" w:hAnsi="宋体" w:cs="宋体"/>
                <w:szCs w:val="22"/>
              </w:rPr>
              <w:t xml:space="preserve"> 消防管理：</w:t>
            </w:r>
          </w:p>
          <w:p>
            <w:pPr>
              <w:spacing w:line="240" w:lineRule="exact"/>
              <w:ind w:firstLine="210"/>
              <w:rPr>
                <w:b/>
                <w:color w:val="000000" w:themeColor="text1"/>
                <w:sz w:val="20"/>
                <w:szCs w:val="20"/>
              </w:rPr>
            </w:pPr>
            <w:r>
              <w:rPr>
                <w:rFonts w:hint="eastAsia" w:ascii="宋体" w:hAnsi="宋体" w:cs="宋体"/>
                <w:szCs w:val="22"/>
              </w:rPr>
              <w:t>火灾控制：工作人员每年参加公司和部门组织消防培训，禁止烟火区域有明确标识警示，生产管理人员日常监督、检查确认，安全规范用电，现场灭火器抽查正常完好；但生产车间现场及相关记录查看，未提供出对灭火器日常状态实施检查相关证据，已提出书面问题。</w:t>
            </w:r>
          </w:p>
        </w:tc>
      </w:tr>
      <w:tr>
        <w:tblPrEx>
          <w:tblCellMar>
            <w:top w:w="0" w:type="dxa"/>
            <w:left w:w="108" w:type="dxa"/>
            <w:bottom w:w="0" w:type="dxa"/>
            <w:right w:w="108" w:type="dxa"/>
          </w:tblCellMar>
        </w:tblPrEx>
        <w:trPr>
          <w:cantSplit/>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ind w:left="201" w:hanging="201"/>
              <w:rPr>
                <w:b/>
                <w:color w:val="000000" w:themeColor="text1"/>
                <w:sz w:val="20"/>
                <w:szCs w:val="20"/>
              </w:rPr>
            </w:pPr>
            <w:r>
              <w:rPr>
                <w:b/>
                <w:color w:val="000000" w:themeColor="text1"/>
                <w:sz w:val="20"/>
                <w:szCs w:val="20"/>
              </w:rPr>
              <w:t>9. 应急准备与相应活动的演练及对预案可行性的评价(当有规定时)</w:t>
            </w:r>
          </w:p>
          <w:p>
            <w:pPr>
              <w:spacing w:line="240" w:lineRule="exact"/>
              <w:ind w:firstLine="210"/>
              <w:rPr>
                <w:rFonts w:hint="eastAsia" w:ascii="宋体" w:hAnsi="宋体" w:cs="宋体"/>
                <w:szCs w:val="22"/>
              </w:rPr>
            </w:pPr>
            <w:r>
              <w:rPr>
                <w:rFonts w:hint="eastAsia" w:ascii="宋体" w:hAnsi="宋体" w:cs="宋体"/>
                <w:szCs w:val="22"/>
              </w:rPr>
              <w:t>建立并执行《应急准备与响应控制程序》JSGC/CX-29；</w:t>
            </w:r>
            <w:r>
              <w:rPr>
                <w:rFonts w:hint="eastAsia" w:ascii="宋体" w:hAnsi="宋体" w:cs="宋体"/>
                <w:szCs w:val="22"/>
              </w:rPr>
              <w:t>提供消防演习预案、物体打击应急预案、机械伤害应急预案、触电应急预案、安全生产事故应急救援预案；</w:t>
            </w:r>
          </w:p>
          <w:p>
            <w:pPr>
              <w:spacing w:line="240" w:lineRule="exact"/>
              <w:ind w:firstLine="210"/>
              <w:rPr>
                <w:b/>
                <w:color w:val="000000" w:themeColor="text1"/>
                <w:spacing w:val="-4"/>
                <w:sz w:val="20"/>
                <w:szCs w:val="20"/>
              </w:rPr>
            </w:pPr>
            <w:r>
              <w:rPr>
                <w:rFonts w:hint="eastAsia" w:ascii="宋体" w:hAnsi="宋体" w:cs="宋体"/>
                <w:szCs w:val="22"/>
              </w:rPr>
              <w:t>2021.4.16</w:t>
            </w:r>
            <w:r>
              <w:rPr>
                <w:rFonts w:hint="eastAsia" w:ascii="宋体" w:hAnsi="宋体" w:cs="宋体"/>
                <w:szCs w:val="22"/>
              </w:rPr>
              <w:t>进行机械伤害、触电事故应急演练、火灾应急演练，并进行演练总结和评价。</w:t>
            </w:r>
          </w:p>
        </w:tc>
      </w:tr>
      <w:tr>
        <w:tblPrEx>
          <w:tblCellMar>
            <w:top w:w="0" w:type="dxa"/>
            <w:left w:w="108" w:type="dxa"/>
            <w:bottom w:w="0" w:type="dxa"/>
            <w:right w:w="108" w:type="dxa"/>
          </w:tblCellMar>
        </w:tblPrEx>
        <w:trPr>
          <w:cantSplit/>
          <w:trHeight w:val="7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10. 对特种设备的维护，检定;</w:t>
            </w:r>
          </w:p>
          <w:p>
            <w:pPr>
              <w:spacing w:line="240" w:lineRule="exact"/>
              <w:ind w:firstLine="420" w:firstLineChars="200"/>
              <w:rPr>
                <w:b/>
                <w:color w:val="000000" w:themeColor="text1"/>
                <w:sz w:val="20"/>
                <w:szCs w:val="20"/>
              </w:rPr>
            </w:pPr>
            <w:r>
              <w:rPr>
                <w:rFonts w:hint="eastAsia" w:ascii="宋体" w:hAnsi="宋体" w:cs="宋体"/>
                <w:szCs w:val="22"/>
              </w:rPr>
              <w:t>特种设备有叉车、起重机现场运行正常，提供有效特种设备使用登记表及检定合格报告</w:t>
            </w:r>
          </w:p>
        </w:tc>
      </w:tr>
      <w:tr>
        <w:tblPrEx>
          <w:tblCellMar>
            <w:top w:w="0" w:type="dxa"/>
            <w:left w:w="108" w:type="dxa"/>
            <w:bottom w:w="0" w:type="dxa"/>
            <w:right w:w="108" w:type="dxa"/>
          </w:tblCellMar>
        </w:tblPrEx>
        <w:trPr>
          <w:cantSplit/>
          <w:trHeight w:val="47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ascii="宋体" w:hAnsi="宋体" w:cs="宋体"/>
                <w:szCs w:val="22"/>
              </w:rPr>
              <w:t>无</w:t>
            </w:r>
          </w:p>
        </w:tc>
      </w:tr>
      <w:tr>
        <w:trPr>
          <w:cantSplit/>
          <w:trHeight w:val="141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r>
              <w:rPr>
                <w:b/>
                <w:color w:val="000000" w:themeColor="text1"/>
                <w:szCs w:val="21"/>
              </w:rPr>
              <w:t>(四)监视测量方面</w:t>
            </w: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ind w:left="100" w:hanging="100"/>
              <w:rPr>
                <w:b/>
                <w:color w:val="000000" w:themeColor="text1"/>
                <w:sz w:val="20"/>
                <w:szCs w:val="20"/>
              </w:rPr>
            </w:pPr>
            <w:r>
              <w:rPr>
                <w:b/>
                <w:color w:val="000000" w:themeColor="text1"/>
                <w:sz w:val="20"/>
                <w:szCs w:val="20"/>
              </w:rPr>
              <w:t>1. .对质量/环境/职业健康安全目标指标进行定期监测/检查情况</w:t>
            </w:r>
          </w:p>
          <w:p>
            <w:pPr>
              <w:spacing w:line="240" w:lineRule="exact"/>
              <w:ind w:firstLine="210"/>
              <w:rPr>
                <w:rFonts w:ascii="宋体" w:hAnsi="宋体" w:cs="宋体"/>
                <w:szCs w:val="22"/>
              </w:rPr>
            </w:pPr>
            <w:r>
              <w:rPr>
                <w:rFonts w:ascii="宋体" w:hAnsi="宋体" w:cs="宋体"/>
                <w:szCs w:val="22"/>
              </w:rPr>
              <w:t>提供</w:t>
            </w:r>
            <w:r>
              <w:rPr>
                <w:rFonts w:hint="eastAsia" w:ascii="宋体" w:hAnsi="宋体" w:cs="宋体"/>
                <w:szCs w:val="22"/>
              </w:rPr>
              <w:t>公司及</w:t>
            </w:r>
            <w:r>
              <w:rPr>
                <w:rFonts w:ascii="宋体" w:hAnsi="宋体" w:cs="宋体"/>
                <w:szCs w:val="22"/>
              </w:rPr>
              <w:t>各部门质量目标分解文件，明确考核方法、周期和考核人；有2021年一季度完成情况记录，目标、指示达成；</w:t>
            </w:r>
            <w:r>
              <w:rPr>
                <w:rFonts w:hint="eastAsia" w:ascii="宋体" w:hAnsi="宋体" w:cs="宋体"/>
                <w:szCs w:val="22"/>
              </w:rPr>
              <w:t>考核时间：2021.4.24</w:t>
            </w:r>
            <w:r>
              <w:rPr>
                <w:rFonts w:ascii="宋体" w:hAnsi="宋体" w:cs="宋体"/>
                <w:szCs w:val="22"/>
              </w:rPr>
              <w:t xml:space="preserve">   </w:t>
            </w:r>
            <w:r>
              <w:rPr>
                <w:rFonts w:hint="eastAsia" w:ascii="宋体" w:hAnsi="宋体" w:cs="宋体"/>
                <w:szCs w:val="22"/>
              </w:rPr>
              <w:t>考核人：李培花</w:t>
            </w:r>
          </w:p>
          <w:p>
            <w:pPr>
              <w:spacing w:line="240" w:lineRule="exact"/>
              <w:ind w:firstLine="210"/>
              <w:rPr>
                <w:rFonts w:ascii="宋体" w:hAnsi="宋体" w:cs="宋体"/>
                <w:szCs w:val="22"/>
              </w:rPr>
            </w:pPr>
            <w:r>
              <w:rPr>
                <w:rFonts w:hint="eastAsia" w:ascii="宋体" w:hAnsi="宋体" w:cs="宋体"/>
                <w:szCs w:val="22"/>
              </w:rPr>
              <w:t>2021年5月30日对2021年对公司及部门职业健康安全分解目标指标，均完成，有统计表；2021年职业健康安全目标指标及方案：用电安全，物体打击、机械伤害、落物砸伤，明确目标、指标、措施、责任人和时间，截止当前，方案有效实施中。</w:t>
            </w:r>
          </w:p>
          <w:p>
            <w:pPr>
              <w:spacing w:line="240" w:lineRule="exact"/>
              <w:ind w:firstLine="100"/>
              <w:rPr>
                <w:b/>
                <w:color w:val="000000" w:themeColor="text1"/>
                <w:sz w:val="20"/>
                <w:szCs w:val="20"/>
              </w:rPr>
            </w:pPr>
          </w:p>
        </w:tc>
      </w:tr>
      <w:tr>
        <w:tblPrEx>
          <w:tblCellMar>
            <w:top w:w="0" w:type="dxa"/>
            <w:left w:w="108" w:type="dxa"/>
            <w:bottom w:w="0" w:type="dxa"/>
            <w:right w:w="108" w:type="dxa"/>
          </w:tblCellMar>
        </w:tblPrEx>
        <w:trPr>
          <w:cantSplit/>
          <w:trHeight w:val="14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113" w:right="113"/>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ind w:left="100" w:hanging="100"/>
              <w:rPr>
                <w:b/>
                <w:color w:val="000000" w:themeColor="text1"/>
                <w:sz w:val="20"/>
                <w:szCs w:val="20"/>
              </w:rPr>
            </w:pPr>
            <w:r>
              <w:rPr>
                <w:b/>
                <w:color w:val="000000" w:themeColor="text1"/>
                <w:sz w:val="20"/>
                <w:szCs w:val="20"/>
              </w:rPr>
              <w:t>2.顾客满意</w:t>
            </w:r>
          </w:p>
          <w:p>
            <w:pPr>
              <w:spacing w:line="240" w:lineRule="exact"/>
              <w:ind w:firstLine="210"/>
              <w:rPr>
                <w:rFonts w:ascii="宋体" w:hAnsi="宋体" w:cs="宋体"/>
                <w:szCs w:val="22"/>
              </w:rPr>
            </w:pPr>
            <w:r>
              <w:rPr>
                <w:rFonts w:hint="eastAsia" w:ascii="宋体" w:hAnsi="宋体" w:cs="宋体"/>
                <w:szCs w:val="22"/>
              </w:rPr>
              <w:t>公司通过拜访、电话、电邮、问卷等形式，收集顾客反馈信息，监视顾客满意程度，评价体系的有效性，寻求体系改进的机会。</w:t>
            </w:r>
          </w:p>
          <w:p>
            <w:pPr>
              <w:spacing w:line="240" w:lineRule="exact"/>
              <w:ind w:firstLine="210"/>
              <w:rPr>
                <w:rFonts w:ascii="宋体" w:hAnsi="宋体" w:cs="宋体"/>
                <w:szCs w:val="22"/>
              </w:rPr>
            </w:pPr>
            <w:r>
              <w:rPr>
                <w:rFonts w:hint="eastAsia" w:ascii="宋体" w:hAnsi="宋体" w:cs="宋体"/>
                <w:szCs w:val="22"/>
              </w:rPr>
              <w:t>2021年上半月向9家长期客户发放调查表，从提供的调查表来看，调查项次共81项，满意72项，较满意9项，不满意为0项，公司满意度为97</w:t>
            </w:r>
            <w:r>
              <w:rPr>
                <w:rFonts w:ascii="宋体" w:hAnsi="宋体" w:cs="宋体"/>
                <w:szCs w:val="22"/>
              </w:rPr>
              <w:t>.8%，</w:t>
            </w:r>
            <w:r>
              <w:rPr>
                <w:rFonts w:hint="eastAsia" w:ascii="宋体" w:hAnsi="宋体" w:cs="宋体"/>
                <w:szCs w:val="22"/>
              </w:rPr>
              <w:t>有顾客满意度调查情况汇总分析报告。</w:t>
            </w:r>
          </w:p>
          <w:p>
            <w:pPr>
              <w:spacing w:line="240" w:lineRule="exact"/>
              <w:ind w:firstLine="210"/>
              <w:rPr>
                <w:b/>
                <w:color w:val="000000" w:themeColor="text1"/>
                <w:sz w:val="20"/>
                <w:szCs w:val="20"/>
              </w:rPr>
            </w:pPr>
            <w:r>
              <w:rPr>
                <w:rFonts w:hint="eastAsia" w:ascii="宋体" w:hAnsi="宋体" w:cs="宋体"/>
                <w:szCs w:val="22"/>
              </w:rPr>
              <w:t>体系运行至今未发生投诉情况，日常顾客反馈个别小问题及时处理，并记录顾客反馈记录表。</w:t>
            </w:r>
          </w:p>
        </w:tc>
      </w:tr>
      <w:tr>
        <w:tblPrEx>
          <w:tblCellMar>
            <w:top w:w="0" w:type="dxa"/>
            <w:left w:w="108" w:type="dxa"/>
            <w:bottom w:w="0" w:type="dxa"/>
            <w:right w:w="108" w:type="dxa"/>
          </w:tblCellMar>
        </w:tblPrEx>
        <w:trPr>
          <w:cantSplit/>
          <w:trHeight w:val="22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201" w:right="113" w:hanging="201"/>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b/>
                <w:color w:val="000000" w:themeColor="text1"/>
                <w:sz w:val="20"/>
                <w:szCs w:val="20"/>
              </w:rPr>
              <w:t>了解内审的策划;</w:t>
            </w:r>
          </w:p>
          <w:p>
            <w:pPr>
              <w:tabs>
                <w:tab w:val="left" w:pos="798"/>
                <w:tab w:val="left" w:pos="3606"/>
                <w:tab w:val="left" w:pos="5979"/>
                <w:tab w:val="left" w:pos="6807"/>
                <w:tab w:val="left" w:pos="8715"/>
                <w:tab w:val="left" w:pos="10413"/>
                <w:tab w:val="left" w:pos="11871"/>
                <w:tab w:val="left" w:pos="14949"/>
              </w:tabs>
              <w:autoSpaceDE w:val="0"/>
              <w:autoSpaceDN w:val="0"/>
              <w:spacing w:line="280" w:lineRule="exact"/>
              <w:ind w:firstLine="240" w:firstLineChars="100"/>
              <w:jc w:val="left"/>
              <w:rPr>
                <w:rFonts w:cs="宋体" w:asciiTheme="minorEastAsia" w:hAnsiTheme="minorEastAsia" w:eastAsiaTheme="minorEastAsia"/>
                <w:sz w:val="24"/>
              </w:rPr>
            </w:pPr>
            <w:r>
              <w:rPr>
                <w:rFonts w:cs="宋体" w:asciiTheme="minorEastAsia" w:hAnsiTheme="minorEastAsia" w:eastAsiaTheme="minorEastAsia"/>
                <w:sz w:val="24"/>
              </w:rPr>
              <w:t>每年一次，本次2021.4.15-4.16日内审。</w:t>
            </w:r>
          </w:p>
          <w:p>
            <w:pPr>
              <w:spacing w:line="240" w:lineRule="exact"/>
              <w:rPr>
                <w:b/>
                <w:color w:val="000000" w:themeColor="text1"/>
                <w:sz w:val="20"/>
                <w:szCs w:val="20"/>
              </w:rPr>
            </w:pPr>
            <w:r>
              <w:rPr>
                <w:b/>
                <w:color w:val="000000" w:themeColor="text1"/>
                <w:sz w:val="20"/>
                <w:szCs w:val="20"/>
              </w:rPr>
              <w:t>了解内审是否覆盖了管理体系范围内的活动及标准的要求;</w:t>
            </w:r>
          </w:p>
          <w:p>
            <w:pPr>
              <w:tabs>
                <w:tab w:val="left" w:pos="798"/>
                <w:tab w:val="left" w:pos="3606"/>
                <w:tab w:val="left" w:pos="5979"/>
                <w:tab w:val="left" w:pos="6807"/>
                <w:tab w:val="left" w:pos="8715"/>
                <w:tab w:val="left" w:pos="10413"/>
                <w:tab w:val="left" w:pos="11871"/>
                <w:tab w:val="left" w:pos="14949"/>
              </w:tabs>
              <w:autoSpaceDE w:val="0"/>
              <w:autoSpaceDN w:val="0"/>
              <w:spacing w:line="280" w:lineRule="exact"/>
              <w:ind w:firstLine="240" w:firstLineChars="100"/>
              <w:jc w:val="left"/>
              <w:rPr>
                <w:rFonts w:cs="宋体" w:asciiTheme="minorEastAsia" w:hAnsiTheme="minorEastAsia" w:eastAsiaTheme="minorEastAsia"/>
                <w:sz w:val="24"/>
              </w:rPr>
            </w:pPr>
            <w:r>
              <w:rPr>
                <w:rFonts w:cs="宋体" w:asciiTheme="minorEastAsia" w:hAnsiTheme="minorEastAsia" w:eastAsiaTheme="minorEastAsia"/>
                <w:sz w:val="24"/>
              </w:rPr>
              <w:t>覆盖。</w:t>
            </w:r>
          </w:p>
          <w:p>
            <w:pPr>
              <w:spacing w:line="240" w:lineRule="exact"/>
              <w:rPr>
                <w:b/>
                <w:color w:val="000000" w:themeColor="text1"/>
                <w:sz w:val="20"/>
                <w:szCs w:val="20"/>
              </w:rPr>
            </w:pPr>
            <w:r>
              <w:rPr>
                <w:b/>
                <w:color w:val="000000" w:themeColor="text1"/>
                <w:sz w:val="20"/>
                <w:szCs w:val="20"/>
              </w:rPr>
              <w:t>了解内审结论是什么？</w:t>
            </w:r>
          </w:p>
          <w:p>
            <w:pPr>
              <w:spacing w:line="240" w:lineRule="exact"/>
              <w:ind w:firstLine="210"/>
              <w:rPr>
                <w:b/>
                <w:color w:val="000000" w:themeColor="text1"/>
                <w:sz w:val="20"/>
                <w:szCs w:val="20"/>
              </w:rPr>
            </w:pPr>
            <w:r>
              <w:rPr>
                <w:rFonts w:hint="eastAsia" w:ascii="宋体" w:hAnsi="宋体" w:cs="宋体"/>
                <w:szCs w:val="22"/>
              </w:rPr>
              <w:t>公司QO管理体系基本符合ISO 9001：2015、ISO45001：2018的要求，方针是适宜的，符合标准要求和法律法规要求，公司质量、职业健康安全管理体系得到了有效实施，运行是有效的。</w:t>
            </w:r>
          </w:p>
        </w:tc>
      </w:tr>
      <w:tr>
        <w:tblPrEx>
          <w:tblCellMar>
            <w:top w:w="0" w:type="dxa"/>
            <w:left w:w="108" w:type="dxa"/>
            <w:bottom w:w="0" w:type="dxa"/>
            <w:right w:w="108" w:type="dxa"/>
          </w:tblCellMar>
        </w:tblPrEx>
        <w:trPr>
          <w:cantSplit/>
          <w:trHeight w:val="182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spacing w:line="240" w:lineRule="exact"/>
              <w:ind w:left="201" w:right="113" w:hanging="201"/>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b/>
                <w:color w:val="000000" w:themeColor="text1"/>
                <w:sz w:val="20"/>
                <w:szCs w:val="20"/>
              </w:rPr>
              <w:t>了解管理评审的策划;</w:t>
            </w:r>
          </w:p>
          <w:p>
            <w:pPr>
              <w:spacing w:line="360" w:lineRule="auto"/>
              <w:ind w:firstLine="420"/>
              <w:jc w:val="left"/>
              <w:rPr>
                <w:rFonts w:ascii="宋体" w:hAnsi="宋体" w:cs="宋体"/>
                <w:szCs w:val="22"/>
              </w:rPr>
            </w:pPr>
            <w:r>
              <w:rPr>
                <w:rFonts w:ascii="宋体" w:hAnsi="宋体" w:cs="宋体"/>
                <w:szCs w:val="22"/>
              </w:rPr>
              <w:t>每年一次，2021.4.25日管理评审。</w:t>
            </w:r>
          </w:p>
          <w:p>
            <w:pPr>
              <w:spacing w:line="240" w:lineRule="exact"/>
              <w:rPr>
                <w:b/>
                <w:color w:val="000000" w:themeColor="text1"/>
                <w:sz w:val="20"/>
                <w:szCs w:val="20"/>
              </w:rPr>
            </w:pPr>
            <w:r>
              <w:rPr>
                <w:b/>
                <w:color w:val="000000" w:themeColor="text1"/>
                <w:sz w:val="20"/>
                <w:szCs w:val="20"/>
              </w:rPr>
              <w:t>了解管理评审输入是否充分;</w:t>
            </w:r>
          </w:p>
          <w:p>
            <w:pPr>
              <w:spacing w:line="360" w:lineRule="auto"/>
              <w:ind w:firstLine="420"/>
              <w:jc w:val="left"/>
              <w:rPr>
                <w:rFonts w:ascii="宋体" w:hAnsi="宋体" w:cs="宋体"/>
                <w:szCs w:val="22"/>
              </w:rPr>
            </w:pPr>
            <w:r>
              <w:rPr>
                <w:rFonts w:ascii="宋体" w:hAnsi="宋体" w:cs="宋体"/>
                <w:szCs w:val="22"/>
              </w:rPr>
              <w:t>充分。</w:t>
            </w:r>
          </w:p>
          <w:p>
            <w:pPr>
              <w:spacing w:line="240" w:lineRule="exact"/>
              <w:rPr>
                <w:b/>
                <w:color w:val="000000" w:themeColor="text1"/>
                <w:sz w:val="20"/>
                <w:szCs w:val="20"/>
              </w:rPr>
            </w:pPr>
            <w:r>
              <w:rPr>
                <w:b/>
                <w:color w:val="000000" w:themeColor="text1"/>
                <w:sz w:val="20"/>
                <w:szCs w:val="20"/>
              </w:rPr>
              <w:t>了解管理评审结论;</w:t>
            </w:r>
          </w:p>
          <w:p>
            <w:pPr>
              <w:spacing w:line="240" w:lineRule="exact"/>
              <w:ind w:firstLine="420" w:firstLineChars="200"/>
              <w:rPr>
                <w:color w:val="000000" w:themeColor="text1"/>
                <w:sz w:val="20"/>
                <w:szCs w:val="20"/>
              </w:rPr>
            </w:pPr>
            <w:r>
              <w:rPr>
                <w:rFonts w:hint="eastAsia" w:ascii="宋体" w:hAnsi="宋体" w:cs="宋体"/>
                <w:szCs w:val="22"/>
              </w:rPr>
              <w:t>公司的管理方针、管理目标能够符合目前公司的状况，公司的QO管理体系基本上是适宜、有效、充分的，能够满足顾客要求，符合法律法规和标准的要求。</w:t>
            </w:r>
          </w:p>
        </w:tc>
      </w:tr>
      <w:tr>
        <w:tblPrEx>
          <w:tblCellMar>
            <w:top w:w="0" w:type="dxa"/>
            <w:left w:w="108" w:type="dxa"/>
            <w:bottom w:w="0" w:type="dxa"/>
            <w:right w:w="108" w:type="dxa"/>
          </w:tblCellMar>
        </w:tblPrEx>
        <w:trPr>
          <w:cantSplit/>
          <w:trHeight w:val="8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5.  EMS是否按规定对主要污染物（污水、废气、噪声、废渣等）及排放实施了例行的监视或测量，结果是否满足相关要求？</w:t>
            </w:r>
          </w:p>
          <w:p>
            <w:pPr>
              <w:spacing w:line="240" w:lineRule="exact"/>
              <w:ind w:firstLine="210" w:firstLineChars="100"/>
              <w:rPr>
                <w:b/>
                <w:color w:val="000000" w:themeColor="text1"/>
                <w:sz w:val="20"/>
                <w:szCs w:val="20"/>
              </w:rPr>
            </w:pPr>
            <w:r>
              <w:rPr>
                <w:szCs w:val="21"/>
              </w:rPr>
              <w:t>/</w:t>
            </w:r>
          </w:p>
        </w:tc>
      </w:tr>
      <w:tr>
        <w:tblPrEx>
          <w:tblCellMar>
            <w:top w:w="0" w:type="dxa"/>
            <w:left w:w="108" w:type="dxa"/>
            <w:bottom w:w="0" w:type="dxa"/>
            <w:right w:w="108" w:type="dxa"/>
          </w:tblCellMar>
        </w:tblPrEx>
        <w:trPr>
          <w:cantSplit/>
          <w:trHeight w:val="53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6.  EMS国家/地方环保部门监测结果、新改扩建项目符合环评报告、三同时验收报告要求情况及措施</w:t>
            </w:r>
          </w:p>
          <w:p>
            <w:pPr>
              <w:spacing w:line="240" w:lineRule="exact"/>
              <w:ind w:firstLine="210" w:firstLineChars="100"/>
              <w:rPr>
                <w:b/>
                <w:color w:val="000000" w:themeColor="text1"/>
                <w:sz w:val="20"/>
                <w:szCs w:val="20"/>
              </w:rPr>
            </w:pPr>
            <w:r>
              <w:rPr>
                <w:szCs w:val="21"/>
              </w:rPr>
              <w:t>/</w:t>
            </w:r>
          </w:p>
        </w:tc>
      </w:tr>
      <w:tr>
        <w:tblPrEx>
          <w:tblCellMar>
            <w:top w:w="0" w:type="dxa"/>
            <w:left w:w="108" w:type="dxa"/>
            <w:bottom w:w="0" w:type="dxa"/>
            <w:right w:w="108" w:type="dxa"/>
          </w:tblCellMar>
        </w:tblPrEx>
        <w:trPr>
          <w:cantSplit/>
          <w:trHeight w:val="68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300" w:lineRule="exact"/>
              <w:rPr>
                <w:b/>
                <w:color w:val="000000" w:themeColor="text1"/>
                <w:sz w:val="20"/>
                <w:szCs w:val="20"/>
              </w:rPr>
            </w:pPr>
            <w:r>
              <w:rPr>
                <w:b/>
                <w:color w:val="000000" w:themeColor="text1"/>
                <w:sz w:val="20"/>
                <w:szCs w:val="20"/>
              </w:rPr>
              <w:t>7. OHSMS是否按规定对职业健康安全项目进行定期测量，结果是否满足相关要求：</w:t>
            </w:r>
          </w:p>
          <w:p>
            <w:pPr>
              <w:spacing w:line="300" w:lineRule="exact"/>
              <w:ind w:firstLine="210" w:firstLineChars="100"/>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61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8.OHSMS国家/地方职业健康安全部门监督检查情况及措施</w:t>
            </w:r>
          </w:p>
          <w:p>
            <w:pPr>
              <w:spacing w:line="240" w:lineRule="exact"/>
              <w:ind w:firstLine="210" w:firstLineChars="100"/>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56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9. 其他能够标明组织绩效、信誉的证据/信息：</w:t>
            </w:r>
          </w:p>
          <w:p>
            <w:pPr>
              <w:spacing w:line="240" w:lineRule="exact"/>
              <w:ind w:firstLine="210" w:firstLineChars="100"/>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92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left="113"/>
              <w:jc w:val="center"/>
              <w:rPr>
                <w:b/>
                <w:color w:val="000000" w:themeColor="text1"/>
                <w:sz w:val="20"/>
              </w:rPr>
            </w:pPr>
            <w:r>
              <w:rPr>
                <w:b/>
                <w:color w:val="000000" w:themeColor="text1"/>
                <w:sz w:val="20"/>
              </w:rPr>
              <w:t>(五)持续改进</w:t>
            </w: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1 纠正/预防措施的实施及效果</w:t>
            </w:r>
            <w:r>
              <w:rPr>
                <w:b/>
                <w:color w:val="000000" w:themeColor="text1"/>
                <w:spacing w:val="-8"/>
                <w:sz w:val="20"/>
                <w:szCs w:val="20"/>
              </w:rPr>
              <w:t>;</w:t>
            </w:r>
          </w:p>
          <w:p>
            <w:pPr>
              <w:spacing w:line="240" w:lineRule="exact"/>
              <w:ind w:firstLine="420"/>
              <w:rPr>
                <w:bCs/>
                <w:color w:val="000000" w:themeColor="text1"/>
                <w:szCs w:val="21"/>
              </w:rPr>
            </w:pPr>
            <w:r>
              <w:rPr>
                <w:bCs/>
                <w:color w:val="000000" w:themeColor="text1"/>
                <w:szCs w:val="21"/>
              </w:rPr>
              <w:t>公司</w:t>
            </w:r>
            <w:r>
              <w:rPr>
                <w:rFonts w:hint="eastAsia"/>
                <w:bCs/>
                <w:color w:val="000000" w:themeColor="text1"/>
                <w:szCs w:val="21"/>
              </w:rPr>
              <w:t>对不合格、</w:t>
            </w:r>
            <w:r>
              <w:rPr>
                <w:bCs/>
                <w:color w:val="000000" w:themeColor="text1"/>
                <w:szCs w:val="21"/>
              </w:rPr>
              <w:t>事故事件报告、调查、处理等</w:t>
            </w:r>
            <w:r>
              <w:rPr>
                <w:rFonts w:hint="eastAsia"/>
                <w:bCs/>
                <w:color w:val="000000" w:themeColor="text1"/>
                <w:szCs w:val="21"/>
              </w:rPr>
              <w:t>作</w:t>
            </w:r>
            <w:r>
              <w:rPr>
                <w:bCs/>
                <w:color w:val="000000" w:themeColor="text1"/>
                <w:szCs w:val="21"/>
              </w:rPr>
              <w:t>了规定，其内容符合组织实际及标准要求，</w:t>
            </w:r>
            <w:r>
              <w:rPr>
                <w:rFonts w:hint="eastAsia"/>
                <w:bCs/>
                <w:color w:val="000000" w:themeColor="text1"/>
                <w:szCs w:val="21"/>
              </w:rPr>
              <w:t>明确原因分析、纠正措施/预防措施及验证</w:t>
            </w:r>
            <w:r>
              <w:rPr>
                <w:bCs/>
                <w:color w:val="000000" w:themeColor="text1"/>
                <w:szCs w:val="21"/>
              </w:rPr>
              <w:t>。</w:t>
            </w:r>
          </w:p>
          <w:p>
            <w:pPr>
              <w:spacing w:line="240" w:lineRule="exact"/>
              <w:ind w:firstLine="420"/>
              <w:rPr>
                <w:b/>
                <w:color w:val="000000" w:themeColor="text1"/>
                <w:sz w:val="20"/>
                <w:szCs w:val="20"/>
              </w:rPr>
            </w:pPr>
            <w:r>
              <w:rPr>
                <w:bCs/>
                <w:color w:val="000000" w:themeColor="text1"/>
                <w:szCs w:val="21"/>
              </w:rPr>
              <w:t>针对内审、管理评审提出的问题已采取了纠正措施</w:t>
            </w:r>
            <w:r>
              <w:rPr>
                <w:rFonts w:hint="eastAsia"/>
                <w:bCs/>
                <w:color w:val="000000" w:themeColor="text1"/>
                <w:szCs w:val="21"/>
              </w:rPr>
              <w:t>并进行有效验证</w:t>
            </w:r>
            <w:r>
              <w:rPr>
                <w:bCs/>
                <w:color w:val="000000" w:themeColor="text1"/>
                <w:szCs w:val="21"/>
              </w:rPr>
              <w:t>。</w:t>
            </w:r>
          </w:p>
        </w:tc>
      </w:tr>
      <w:tr>
        <w:tblPrEx>
          <w:tblCellMar>
            <w:top w:w="0" w:type="dxa"/>
            <w:left w:w="108" w:type="dxa"/>
            <w:bottom w:w="0" w:type="dxa"/>
            <w:right w:w="108" w:type="dxa"/>
          </w:tblCellMar>
        </w:tblPrEx>
        <w:trPr>
          <w:cantSplit/>
          <w:trHeight w:val="57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pacing w:val="-20"/>
                <w:sz w:val="20"/>
                <w:szCs w:val="20"/>
              </w:rPr>
            </w:pPr>
            <w:r>
              <w:rPr>
                <w:b/>
                <w:color w:val="000000" w:themeColor="text1"/>
                <w:spacing w:val="-20"/>
                <w:sz w:val="20"/>
                <w:szCs w:val="20"/>
              </w:rPr>
              <w:t>2（近一年）重大事故、顾客/相关方投诉：：</w:t>
            </w:r>
          </w:p>
          <w:p>
            <w:pPr>
              <w:spacing w:line="240" w:lineRule="exact"/>
              <w:ind w:firstLine="210" w:firstLineChars="100"/>
              <w:rPr>
                <w:b/>
                <w:color w:val="000000" w:themeColor="text1"/>
                <w:sz w:val="20"/>
                <w:szCs w:val="20"/>
              </w:rPr>
            </w:pPr>
            <w:r>
              <w:rPr>
                <w:bCs/>
                <w:color w:val="000000" w:themeColor="text1"/>
                <w:szCs w:val="21"/>
              </w:rPr>
              <w:t>未发生。</w:t>
            </w:r>
          </w:p>
        </w:tc>
      </w:tr>
      <w:tr>
        <w:tblPrEx>
          <w:tblCellMar>
            <w:top w:w="0" w:type="dxa"/>
            <w:left w:w="108" w:type="dxa"/>
            <w:bottom w:w="0" w:type="dxa"/>
            <w:right w:w="108" w:type="dxa"/>
          </w:tblCellMar>
        </w:tblPrEx>
        <w:trPr>
          <w:cantSplit/>
          <w:trHeight w:val="62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3. 一阶段提出问题的整改情况?</w:t>
            </w:r>
          </w:p>
          <w:p>
            <w:pPr>
              <w:spacing w:line="240" w:lineRule="exact"/>
              <w:ind w:firstLine="170" w:firstLineChars="100"/>
              <w:rPr>
                <w:b/>
                <w:color w:val="000000" w:themeColor="text1"/>
                <w:spacing w:val="-20"/>
                <w:sz w:val="20"/>
                <w:szCs w:val="20"/>
              </w:rPr>
            </w:pPr>
            <w:r>
              <w:rPr>
                <w:bCs/>
                <w:color w:val="000000" w:themeColor="text1"/>
                <w:spacing w:val="-20"/>
                <w:szCs w:val="21"/>
              </w:rPr>
              <w:t>一阶段提出的问题已整改完成。</w:t>
            </w:r>
          </w:p>
        </w:tc>
      </w:tr>
      <w:tr>
        <w:tblPrEx>
          <w:tblCellMar>
            <w:top w:w="0" w:type="dxa"/>
            <w:left w:w="108" w:type="dxa"/>
            <w:bottom w:w="0" w:type="dxa"/>
            <w:right w:w="108" w:type="dxa"/>
          </w:tblCellMar>
        </w:tblPrEx>
        <w:trPr>
          <w:cantSplit/>
          <w:trHeight w:val="54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 w:val="20"/>
                <w:szCs w:val="20"/>
              </w:rPr>
            </w:pPr>
            <w:r>
              <w:rPr>
                <w:b/>
                <w:color w:val="000000" w:themeColor="text1"/>
                <w:sz w:val="20"/>
                <w:szCs w:val="20"/>
              </w:rPr>
              <w:t>4.创新情况</w:t>
            </w:r>
          </w:p>
          <w:p>
            <w:pPr>
              <w:spacing w:line="240" w:lineRule="exact"/>
              <w:ind w:firstLine="210" w:firstLineChars="100"/>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411"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spacing w:line="240" w:lineRule="exact"/>
              <w:rPr>
                <w:b/>
                <w:color w:val="000000" w:themeColor="text1"/>
                <w:szCs w:val="21"/>
              </w:rPr>
            </w:pPr>
            <w:r>
              <w:rPr>
                <w:b/>
                <w:color w:val="000000" w:themeColor="text1"/>
                <w:szCs w:val="21"/>
              </w:rPr>
              <w:t>5. 上次不符合的整改情况（再认证填写）</w:t>
            </w:r>
          </w:p>
        </w:tc>
      </w:tr>
    </w:tbl>
    <w:p>
      <w:pPr>
        <w:spacing w:line="360" w:lineRule="auto"/>
        <w:ind w:left="1" w:hanging="992"/>
        <w:rPr>
          <w:b/>
          <w:color w:val="000000" w:themeColor="text1"/>
          <w:sz w:val="20"/>
        </w:rPr>
      </w:pPr>
      <w:r>
        <w:rPr>
          <w:b/>
          <w:color w:val="000000" w:themeColor="text1"/>
          <w:sz w:val="26"/>
          <w:szCs w:val="26"/>
        </w:rPr>
        <w:t>七、本次审核不符合项</w:t>
      </w:r>
    </w:p>
    <w:p>
      <w:pPr>
        <w:tabs>
          <w:tab w:val="left" w:pos="9072"/>
        </w:tabs>
        <w:spacing w:line="360" w:lineRule="auto"/>
        <w:ind w:left="-993" w:firstLine="2"/>
        <w:rPr>
          <w:b/>
        </w:rPr>
      </w:pPr>
      <w:r>
        <w:rPr>
          <w:b/>
          <w:color w:val="000000" w:themeColor="text1"/>
        </w:rPr>
        <w:t>1. 本次审核共开具不符合项报告2项；其中严重不符合0项，</w:t>
      </w:r>
      <w:r>
        <w:rPr>
          <w:b/>
        </w:rPr>
        <w:t>一般不符合2项，观察1项，</w:t>
      </w:r>
      <w:r>
        <w:rPr>
          <w:rFonts w:hint="eastAsia"/>
          <w:b/>
        </w:rPr>
        <w:t>不符合</w:t>
      </w:r>
      <w:r>
        <w:rPr>
          <w:b/>
        </w:rPr>
        <w:t>分布在</w:t>
      </w:r>
      <w:r>
        <w:rPr>
          <w:b/>
          <w:u w:val="single"/>
        </w:rPr>
        <w:t>生产</w:t>
      </w:r>
      <w:r>
        <w:rPr>
          <w:rFonts w:hint="eastAsia"/>
          <w:b/>
          <w:u w:val="single"/>
        </w:rPr>
        <w:t>中心</w:t>
      </w:r>
      <w:r>
        <w:rPr>
          <w:b/>
          <w:u w:val="single"/>
        </w:rPr>
        <w:t>O8.1条款、</w:t>
      </w:r>
      <w:r>
        <w:rPr>
          <w:rFonts w:hint="eastAsia"/>
          <w:b/>
          <w:u w:val="single"/>
        </w:rPr>
        <w:t>质检部Q8</w:t>
      </w:r>
      <w:r>
        <w:rPr>
          <w:b/>
          <w:u w:val="single"/>
        </w:rPr>
        <w:t>.6</w:t>
      </w:r>
      <w:r>
        <w:rPr>
          <w:rFonts w:hint="eastAsia"/>
          <w:b/>
          <w:u w:val="single"/>
        </w:rPr>
        <w:t>条款</w:t>
      </w:r>
      <w:r>
        <w:rPr>
          <w:b/>
        </w:rPr>
        <w:t>，分布见附件。（Q/J/E/S分开填写）</w:t>
      </w:r>
    </w:p>
    <w:p>
      <w:pPr>
        <w:tabs>
          <w:tab w:val="left" w:pos="215"/>
          <w:tab w:val="left" w:pos="430"/>
        </w:tabs>
        <w:spacing w:line="360" w:lineRule="auto"/>
        <w:ind w:left="-190" w:hanging="801"/>
        <w:rPr>
          <w:b/>
          <w:color w:val="000000" w:themeColor="text1"/>
        </w:rPr>
      </w:pPr>
      <w:r>
        <w:rPr>
          <w:b/>
          <w:bCs/>
          <w:color w:val="000000" w:themeColor="text1"/>
          <w:szCs w:val="28"/>
        </w:rPr>
        <w:t>2. 本次审核发现不符合及存在问题对管理体系实现目标的影响</w:t>
      </w:r>
      <w:r>
        <w:rPr>
          <w:b/>
          <w:color w:val="000000" w:themeColor="text1"/>
          <w:spacing w:val="-10"/>
          <w:szCs w:val="21"/>
        </w:rPr>
        <w:t>□</w:t>
      </w:r>
      <w:r>
        <w:rPr>
          <w:b/>
          <w:color w:val="000000" w:themeColor="text1"/>
        </w:rPr>
        <w:t>较大</w:t>
      </w:r>
      <w:r>
        <w:rPr>
          <w:rFonts w:ascii="MS Mincho" w:hAnsi="MS Mincho" w:eastAsia="MS Mincho" w:cs="MS Mincho"/>
          <w:b/>
          <w:color w:val="000000" w:themeColor="text1"/>
          <w:spacing w:val="-10"/>
          <w:szCs w:val="21"/>
        </w:rPr>
        <w:t>☑</w:t>
      </w:r>
      <w:r>
        <w:rPr>
          <w:b/>
          <w:color w:val="000000" w:themeColor="text1"/>
        </w:rPr>
        <w:t>不大</w:t>
      </w:r>
    </w:p>
    <w:p>
      <w:pPr>
        <w:tabs>
          <w:tab w:val="left" w:pos="215"/>
          <w:tab w:val="left" w:pos="430"/>
        </w:tabs>
        <w:spacing w:line="360" w:lineRule="auto"/>
        <w:ind w:left="-190" w:hanging="801"/>
        <w:rPr>
          <w:b/>
          <w:color w:val="000000" w:themeColor="text1"/>
        </w:rPr>
      </w:pPr>
      <w:r>
        <w:rPr>
          <w:b/>
          <w:color w:val="000000" w:themeColor="text1"/>
        </w:rPr>
        <w:t>八、已识别出的任何未解决的问题：</w:t>
      </w:r>
      <w:r>
        <w:rPr>
          <w:color w:val="000000" w:themeColor="text1"/>
          <w:u w:val="single"/>
        </w:rPr>
        <w:t>无。</w:t>
      </w:r>
    </w:p>
    <w:p>
      <w:pPr>
        <w:snapToGrid w:val="0"/>
        <w:spacing w:line="360" w:lineRule="auto"/>
        <w:ind w:left="-191" w:hanging="517"/>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snapToGrid w:val="0"/>
              <w:spacing w:line="360" w:lineRule="auto"/>
              <w:rPr>
                <w:b/>
                <w:color w:val="000000" w:themeColor="text1"/>
                <w:spacing w:val="-10"/>
                <w:szCs w:val="21"/>
              </w:rPr>
            </w:pPr>
            <w:r>
              <w:rPr>
                <w:rFonts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snapToGrid w:val="0"/>
              <w:spacing w:line="360" w:lineRule="auto"/>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snapToGrid w:val="0"/>
              <w:spacing w:line="360" w:lineRule="auto"/>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snapToGrid w:val="0"/>
              <w:spacing w:line="360" w:lineRule="auto"/>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hanging="1355"/>
        <w:rPr>
          <w:b/>
          <w:color w:val="000000" w:themeColor="text1"/>
          <w:sz w:val="26"/>
          <w:szCs w:val="26"/>
        </w:rPr>
      </w:pPr>
      <w:r>
        <w:rPr>
          <w:b/>
          <w:color w:val="000000" w:themeColor="text1"/>
          <w:sz w:val="26"/>
          <w:szCs w:val="26"/>
        </w:rPr>
        <w:t>九、是否达到审核目的</w:t>
      </w:r>
    </w:p>
    <w:p>
      <w:pPr>
        <w:snapToGrid w:val="0"/>
        <w:spacing w:line="360" w:lineRule="auto"/>
        <w:ind w:left="-191" w:hanging="517"/>
        <w:rPr>
          <w:rFonts w:ascii="宋体" w:hAnsi="宋体"/>
          <w:b/>
          <w:color w:val="000000" w:themeColor="text1"/>
          <w:szCs w:val="21"/>
        </w:rPr>
      </w:pPr>
      <w:r>
        <w:rPr>
          <w:rFonts w:ascii="MS Mincho" w:hAnsi="MS Mincho" w:eastAsia="MS Mincho" w:cs="MS Mincho"/>
          <w:b/>
          <w:color w:val="000000" w:themeColor="text1"/>
          <w:spacing w:val="-10"/>
          <w:szCs w:val="21"/>
        </w:rPr>
        <w:t>☑</w:t>
      </w:r>
      <w:r>
        <w:rPr>
          <w:rFonts w:ascii="宋体" w:hAnsi="宋体"/>
          <w:b/>
          <w:color w:val="000000" w:themeColor="text1"/>
          <w:szCs w:val="21"/>
        </w:rPr>
        <w:t xml:space="preserve">达到审核目的 </w:t>
      </w:r>
    </w:p>
    <w:p>
      <w:pPr>
        <w:snapToGrid w:val="0"/>
        <w:spacing w:line="360" w:lineRule="auto"/>
        <w:ind w:left="-191" w:hanging="517"/>
        <w:rPr>
          <w:rFonts w:ascii="宋体" w:hAnsi="宋体"/>
          <w:b/>
          <w:color w:val="000000" w:themeColor="text1"/>
          <w:szCs w:val="21"/>
        </w:rPr>
      </w:pPr>
      <w:r>
        <w:rPr>
          <w:b/>
          <w:color w:val="000000" w:themeColor="text1"/>
          <w:spacing w:val="-10"/>
          <w:szCs w:val="21"/>
        </w:rPr>
        <w:t>□未</w:t>
      </w:r>
      <w:r>
        <w:rPr>
          <w:rFonts w:ascii="宋体" w:hAnsi="宋体"/>
          <w:b/>
          <w:color w:val="000000" w:themeColor="text1"/>
          <w:szCs w:val="21"/>
        </w:rPr>
        <w:t>达到审核目的，未达到目的的原因是：</w:t>
      </w:r>
    </w:p>
    <w:p>
      <w:pPr>
        <w:spacing w:line="360" w:lineRule="auto"/>
        <w:ind w:left="1" w:hanging="992"/>
        <w:rPr>
          <w:b/>
          <w:color w:val="000000" w:themeColor="text1"/>
          <w:sz w:val="26"/>
          <w:szCs w:val="26"/>
        </w:rPr>
      </w:pPr>
      <w:r>
        <w:rPr>
          <w:b/>
          <w:color w:val="000000" w:themeColor="text1"/>
          <w:sz w:val="26"/>
          <w:szCs w:val="26"/>
        </w:rPr>
        <w:t>十、审核结论</w:t>
      </w:r>
    </w:p>
    <w:tbl>
      <w:tblPr>
        <w:tblStyle w:val="6"/>
        <w:tblW w:w="10080" w:type="dxa"/>
        <w:tblInd w:w="-880" w:type="dxa"/>
        <w:tblLayout w:type="fixed"/>
        <w:tblCellMar>
          <w:top w:w="0" w:type="dxa"/>
          <w:left w:w="108" w:type="dxa"/>
          <w:bottom w:w="0" w:type="dxa"/>
          <w:right w:w="108" w:type="dxa"/>
        </w:tblCellMar>
      </w:tblPr>
      <w:tblGrid>
        <w:gridCol w:w="10080"/>
      </w:tblGrid>
      <w:tr>
        <w:tblPrEx>
          <w:tblCellMar>
            <w:top w:w="0" w:type="dxa"/>
            <w:left w:w="108" w:type="dxa"/>
            <w:bottom w:w="0" w:type="dxa"/>
            <w:right w:w="108" w:type="dxa"/>
          </w:tblCellMar>
        </w:tblPrEx>
        <w:trPr>
          <w:trHeight w:val="3046" w:hRule="atLeast"/>
        </w:trPr>
        <w:tc>
          <w:tcPr>
            <w:tcW w:w="10080" w:type="dxa"/>
            <w:tcBorders>
              <w:top w:val="single" w:color="000000" w:sz="4" w:space="0"/>
              <w:left w:val="single" w:color="000000" w:sz="4" w:space="0"/>
              <w:bottom w:val="single" w:color="000000" w:sz="4" w:space="0"/>
              <w:right w:val="single" w:color="000000" w:sz="4" w:space="0"/>
            </w:tcBorders>
          </w:tcPr>
          <w:p>
            <w:pPr>
              <w:spacing w:line="280" w:lineRule="exact"/>
              <w:rPr>
                <w:b/>
                <w:color w:val="000000" w:themeColor="text1"/>
                <w:sz w:val="22"/>
                <w:szCs w:val="22"/>
              </w:rPr>
            </w:pPr>
            <w:r>
              <w:rPr>
                <w:b/>
                <w:color w:val="000000" w:themeColor="text1"/>
                <w:spacing w:val="-10"/>
                <w:sz w:val="22"/>
                <w:szCs w:val="22"/>
              </w:rPr>
              <w:t xml:space="preserve">1. </w:t>
            </w:r>
            <w:r>
              <w:rPr>
                <w:rFonts w:ascii="MS Mincho" w:hAnsi="MS Mincho" w:eastAsia="MS Mincho" w:cs="MS Mincho"/>
                <w:b/>
                <w:color w:val="000000" w:themeColor="text1"/>
                <w:spacing w:val="-10"/>
                <w:szCs w:val="21"/>
              </w:rPr>
              <w:t>☑</w:t>
            </w:r>
            <w:r>
              <w:rPr>
                <w:b/>
                <w:color w:val="000000" w:themeColor="text1"/>
                <w:sz w:val="22"/>
                <w:szCs w:val="22"/>
              </w:rPr>
              <w:t xml:space="preserve">QMS  </w:t>
            </w:r>
            <w:r>
              <w:rPr>
                <w:b/>
                <w:color w:val="000000" w:themeColor="text1"/>
                <w:spacing w:val="-10"/>
                <w:sz w:val="32"/>
                <w:szCs w:val="32"/>
              </w:rPr>
              <w:t>□</w:t>
            </w:r>
            <w:r>
              <w:rPr>
                <w:b/>
                <w:color w:val="000000" w:themeColor="text1"/>
                <w:sz w:val="22"/>
                <w:szCs w:val="22"/>
              </w:rPr>
              <w:t xml:space="preserve">EMS  </w:t>
            </w:r>
            <w:r>
              <w:rPr>
                <w:rFonts w:ascii="MS Mincho" w:hAnsi="MS Mincho" w:eastAsia="MS Mincho" w:cs="MS Mincho"/>
                <w:b/>
                <w:color w:val="000000" w:themeColor="text1"/>
                <w:spacing w:val="-10"/>
                <w:szCs w:val="21"/>
              </w:rPr>
              <w:t>☑</w:t>
            </w:r>
            <w:r>
              <w:rPr>
                <w:b/>
                <w:color w:val="000000" w:themeColor="text1"/>
                <w:sz w:val="22"/>
                <w:szCs w:val="22"/>
              </w:rPr>
              <w:t>OHSMS的适宜性、充分性、运行有效性，自我完善机制等。管理体系满足适用要求和实现预期结果的能力。</w:t>
            </w:r>
          </w:p>
          <w:p>
            <w:pPr>
              <w:spacing w:line="280" w:lineRule="exact"/>
              <w:ind w:left="221" w:hanging="221"/>
              <w:rPr>
                <w:b/>
                <w:color w:val="000000" w:themeColor="text1"/>
                <w:sz w:val="22"/>
                <w:szCs w:val="22"/>
              </w:rPr>
            </w:pPr>
            <w:r>
              <w:rPr>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b/>
                <w:color w:val="000000" w:themeColor="text1"/>
                <w:spacing w:val="-10"/>
                <w:szCs w:val="21"/>
              </w:rPr>
              <w:t>□</w:t>
            </w:r>
            <w:r>
              <w:rPr>
                <w:b/>
                <w:color w:val="000000" w:themeColor="text1"/>
                <w:sz w:val="22"/>
                <w:szCs w:val="22"/>
              </w:rPr>
              <w:t xml:space="preserve">QMS  </w:t>
            </w:r>
            <w:r>
              <w:rPr>
                <w:b/>
                <w:color w:val="000000" w:themeColor="text1"/>
                <w:spacing w:val="-10"/>
                <w:szCs w:val="21"/>
              </w:rPr>
              <w:t>□</w:t>
            </w:r>
            <w:r>
              <w:rPr>
                <w:b/>
                <w:color w:val="000000" w:themeColor="text1"/>
                <w:sz w:val="22"/>
                <w:szCs w:val="22"/>
              </w:rPr>
              <w:t xml:space="preserve">EMS  </w:t>
            </w:r>
            <w:r>
              <w:rPr>
                <w:b/>
                <w:color w:val="000000" w:themeColor="text1"/>
                <w:spacing w:val="-10"/>
                <w:szCs w:val="21"/>
              </w:rPr>
              <w:t>□</w:t>
            </w:r>
            <w:r>
              <w:rPr>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ind w:firstLine="420" w:firstLineChars="200"/>
              <w:rPr>
                <w:b/>
                <w:color w:val="000000" w:themeColor="text1"/>
                <w:sz w:val="28"/>
                <w:szCs w:val="28"/>
              </w:rPr>
            </w:pPr>
            <w:r>
              <w:rPr>
                <w:rFonts w:hint="eastAsia" w:ascii="宋体" w:hAnsi="宋体" w:cs="宋体"/>
                <w:bCs/>
                <w:color w:val="000000" w:themeColor="text1"/>
                <w:szCs w:val="21"/>
              </w:rPr>
              <w:t>公司</w:t>
            </w:r>
            <w:r>
              <w:rPr>
                <w:rFonts w:ascii="宋体" w:hAnsi="宋体" w:cs="宋体"/>
                <w:bCs/>
                <w:color w:val="000000" w:themeColor="text1"/>
                <w:szCs w:val="21"/>
              </w:rPr>
              <w:t>体系运行满足标准要求，目标</w:t>
            </w:r>
            <w:r>
              <w:rPr>
                <w:rFonts w:hint="eastAsia" w:ascii="宋体" w:hAnsi="宋体" w:cs="宋体"/>
                <w:bCs/>
                <w:color w:val="000000" w:themeColor="text1"/>
                <w:szCs w:val="21"/>
              </w:rPr>
              <w:t>均</w:t>
            </w:r>
            <w:r>
              <w:rPr>
                <w:rFonts w:ascii="宋体" w:hAnsi="宋体" w:cs="宋体"/>
                <w:bCs/>
                <w:color w:val="000000" w:themeColor="text1"/>
                <w:szCs w:val="21"/>
              </w:rPr>
              <w:t>达成，按</w:t>
            </w:r>
            <w:r>
              <w:rPr>
                <w:rFonts w:hint="eastAsia" w:ascii="宋体" w:hAnsi="宋体" w:cs="宋体"/>
                <w:bCs/>
                <w:color w:val="000000" w:themeColor="text1"/>
                <w:szCs w:val="21"/>
              </w:rPr>
              <w:t>适用</w:t>
            </w:r>
            <w:r>
              <w:rPr>
                <w:rFonts w:ascii="宋体" w:hAnsi="宋体" w:cs="宋体"/>
                <w:bCs/>
                <w:color w:val="000000" w:themeColor="text1"/>
                <w:szCs w:val="21"/>
              </w:rPr>
              <w:t>法律法规和其他要求、</w:t>
            </w:r>
            <w:r>
              <w:rPr>
                <w:rFonts w:hint="eastAsia" w:ascii="宋体" w:hAnsi="宋体" w:cs="宋体"/>
                <w:bCs/>
                <w:color w:val="000000" w:themeColor="text1"/>
                <w:szCs w:val="21"/>
              </w:rPr>
              <w:t>相关方</w:t>
            </w:r>
            <w:r>
              <w:rPr>
                <w:rFonts w:ascii="宋体" w:hAnsi="宋体" w:cs="宋体"/>
                <w:bCs/>
                <w:color w:val="000000" w:themeColor="text1"/>
                <w:szCs w:val="21"/>
              </w:rPr>
              <w:t>要求</w:t>
            </w:r>
            <w:r>
              <w:rPr>
                <w:rFonts w:hint="eastAsia" w:ascii="宋体" w:hAnsi="宋体" w:cs="宋体"/>
                <w:bCs/>
                <w:color w:val="000000" w:themeColor="text1"/>
                <w:szCs w:val="21"/>
              </w:rPr>
              <w:t>及标准要求</w:t>
            </w:r>
            <w:r>
              <w:rPr>
                <w:rFonts w:ascii="宋体" w:hAnsi="宋体" w:cs="宋体"/>
                <w:bCs/>
                <w:color w:val="000000" w:themeColor="text1"/>
                <w:szCs w:val="21"/>
              </w:rPr>
              <w:t>，</w:t>
            </w:r>
            <w:r>
              <w:rPr>
                <w:rFonts w:hint="eastAsia" w:ascii="宋体" w:hAnsi="宋体" w:cs="宋体"/>
                <w:bCs/>
                <w:color w:val="000000" w:themeColor="text1"/>
                <w:szCs w:val="21"/>
              </w:rPr>
              <w:t>进行研发、生产和服务</w:t>
            </w:r>
            <w:r>
              <w:rPr>
                <w:rFonts w:ascii="宋体" w:hAnsi="宋体" w:cs="宋体"/>
                <w:bCs/>
                <w:color w:val="000000" w:themeColor="text1"/>
                <w:szCs w:val="21"/>
              </w:rPr>
              <w:t>，满足适用的质量/职业健康安全法规要求，</w:t>
            </w:r>
            <w:r>
              <w:rPr>
                <w:rFonts w:hint="eastAsia" w:ascii="宋体" w:hAnsi="宋体" w:cs="宋体"/>
                <w:bCs/>
                <w:color w:val="000000" w:themeColor="text1"/>
                <w:szCs w:val="21"/>
              </w:rPr>
              <w:t>未发生质量</w:t>
            </w:r>
            <w:r>
              <w:rPr>
                <w:rFonts w:ascii="宋体" w:hAnsi="宋体" w:cs="宋体"/>
                <w:bCs/>
                <w:color w:val="000000" w:themeColor="text1"/>
                <w:szCs w:val="21"/>
              </w:rPr>
              <w:t>和重大职业健康安全事故，</w:t>
            </w:r>
            <w:r>
              <w:rPr>
                <w:rFonts w:hint="eastAsia" w:ascii="宋体" w:hAnsi="宋体" w:cs="宋体"/>
                <w:bCs/>
                <w:color w:val="000000" w:themeColor="text1"/>
                <w:szCs w:val="21"/>
              </w:rPr>
              <w:t>公司</w:t>
            </w:r>
            <w:r>
              <w:rPr>
                <w:rFonts w:ascii="宋体" w:hAnsi="宋体" w:cs="宋体"/>
                <w:bCs/>
                <w:color w:val="000000" w:themeColor="text1"/>
                <w:szCs w:val="21"/>
              </w:rPr>
              <w:t>实施</w:t>
            </w:r>
            <w:r>
              <w:rPr>
                <w:rFonts w:hint="eastAsia" w:ascii="宋体" w:hAnsi="宋体" w:cs="宋体"/>
                <w:bCs/>
                <w:color w:val="000000" w:themeColor="text1"/>
                <w:szCs w:val="21"/>
              </w:rPr>
              <w:t>控制</w:t>
            </w:r>
            <w:r>
              <w:rPr>
                <w:rFonts w:ascii="宋体" w:hAnsi="宋体" w:cs="宋体"/>
                <w:bCs/>
                <w:color w:val="000000" w:themeColor="text1"/>
                <w:szCs w:val="21"/>
              </w:rPr>
              <w:t>措施有效，体系运行基本适宜、充分、有效，建立自我完善机制。</w:t>
            </w:r>
          </w:p>
        </w:tc>
      </w:tr>
      <w:tr>
        <w:tblPrEx>
          <w:tblCellMar>
            <w:top w:w="0" w:type="dxa"/>
            <w:left w:w="108" w:type="dxa"/>
            <w:bottom w:w="0" w:type="dxa"/>
            <w:right w:w="108" w:type="dxa"/>
          </w:tblCellMar>
        </w:tblPrEx>
        <w:trPr>
          <w:trHeight w:val="1790" w:hRule="atLeast"/>
        </w:trPr>
        <w:tc>
          <w:tcPr>
            <w:tcW w:w="10080" w:type="dxa"/>
            <w:tcBorders>
              <w:top w:val="single" w:color="000000" w:sz="4" w:space="0"/>
              <w:left w:val="single" w:color="000000" w:sz="4" w:space="0"/>
              <w:bottom w:val="single" w:color="000000" w:sz="4" w:space="0"/>
              <w:right w:val="single" w:color="000000" w:sz="4" w:space="0"/>
            </w:tcBorders>
          </w:tcPr>
          <w:p>
            <w:pPr>
              <w:rPr>
                <w:b/>
                <w:color w:val="000000" w:themeColor="text1"/>
              </w:rPr>
            </w:pPr>
            <w:r>
              <w:rPr>
                <w:b/>
                <w:color w:val="000000" w:themeColor="text1"/>
              </w:rPr>
              <w:t>2.对审核范围适宜性结论</w:t>
            </w:r>
          </w:p>
          <w:p>
            <w:pPr>
              <w:rPr>
                <w:b/>
                <w:color w:val="000000" w:themeColor="text1"/>
              </w:rPr>
            </w:pPr>
            <w:r>
              <w:rPr>
                <w:rFonts w:ascii="MS Mincho" w:hAnsi="MS Mincho" w:eastAsia="MS Mincho" w:cs="MS Mincho"/>
                <w:b/>
                <w:color w:val="000000" w:themeColor="text1"/>
                <w:spacing w:val="-10"/>
                <w:szCs w:val="21"/>
              </w:rPr>
              <w:t>☑</w:t>
            </w:r>
            <w:r>
              <w:rPr>
                <w:b/>
                <w:color w:val="000000" w:themeColor="text1"/>
              </w:rPr>
              <w:t>审核范围适宜，与申请范围一致</w:t>
            </w:r>
          </w:p>
          <w:p>
            <w:pPr>
              <w:rPr>
                <w:b/>
                <w:color w:val="000000" w:themeColor="text1"/>
              </w:rPr>
            </w:pPr>
            <w:r>
              <w:rPr>
                <w:b/>
                <w:color w:val="000000" w:themeColor="text1"/>
                <w:spacing w:val="-10"/>
                <w:szCs w:val="21"/>
              </w:rPr>
              <w:t>□</w:t>
            </w:r>
            <w:r>
              <w:rPr>
                <w:b/>
                <w:color w:val="000000" w:themeColor="text1"/>
              </w:rPr>
              <w:t>审核范围变更，</w:t>
            </w:r>
          </w:p>
          <w:p>
            <w:pPr>
              <w:rPr>
                <w:rFonts w:ascii="宋体" w:hAnsi="宋体" w:cs="宋体"/>
                <w:bCs/>
                <w:color w:val="000000" w:themeColor="text1"/>
                <w:szCs w:val="21"/>
              </w:rPr>
            </w:pPr>
            <w:r>
              <w:rPr>
                <w:rFonts w:ascii="宋体" w:hAnsi="宋体" w:cs="宋体"/>
                <w:bCs/>
                <w:color w:val="000000" w:themeColor="text1"/>
                <w:szCs w:val="21"/>
              </w:rPr>
              <w:t>Q：许可范围内的防火卷帘门、防火门和挡烟垂壁的研发、生产（分支机构经营）</w:t>
            </w:r>
          </w:p>
          <w:p>
            <w:pPr>
              <w:spacing w:line="320" w:lineRule="exact"/>
              <w:rPr>
                <w:b/>
                <w:color w:val="000000" w:themeColor="text1"/>
                <w:spacing w:val="-10"/>
                <w:sz w:val="22"/>
                <w:szCs w:val="22"/>
              </w:rPr>
            </w:pPr>
            <w:r>
              <w:rPr>
                <w:rFonts w:ascii="宋体" w:hAnsi="宋体" w:cs="宋体"/>
                <w:bCs/>
                <w:color w:val="000000" w:themeColor="text1"/>
                <w:szCs w:val="21"/>
              </w:rPr>
              <w:t>O：许可范围内的防火卷帘门、防火门和挡烟垂壁的研发、生产（分支机构经营）所涉及场所的相关职业健康安全管理活动</w:t>
            </w:r>
          </w:p>
        </w:tc>
      </w:tr>
      <w:tr>
        <w:trPr>
          <w:trHeight w:val="2869" w:hRule="atLeast"/>
        </w:trPr>
        <w:tc>
          <w:tcPr>
            <w:tcW w:w="10080" w:type="dxa"/>
            <w:tcBorders>
              <w:top w:val="single" w:color="000000" w:sz="4" w:space="0"/>
              <w:left w:val="single" w:color="000000" w:sz="4" w:space="0"/>
              <w:bottom w:val="single" w:color="000000" w:sz="4" w:space="0"/>
              <w:right w:val="single" w:color="000000" w:sz="4" w:space="0"/>
            </w:tcBorders>
          </w:tcPr>
          <w:p>
            <w:pPr>
              <w:rPr>
                <w:b/>
                <w:color w:val="000000" w:themeColor="text1"/>
                <w:sz w:val="16"/>
                <w:szCs w:val="16"/>
              </w:rPr>
            </w:pPr>
            <w:r>
              <w:rPr>
                <w:b/>
                <w:color w:val="000000" w:themeColor="text1"/>
              </w:rPr>
              <w:t>3. 审核组推荐意见</w:t>
            </w:r>
            <w:r>
              <w:rPr>
                <w:b/>
                <w:color w:val="000000" w:themeColor="text1"/>
                <w:sz w:val="16"/>
                <w:szCs w:val="16"/>
              </w:rPr>
              <w:t>：</w:t>
            </w:r>
          </w:p>
          <w:p>
            <w:pPr>
              <w:rPr>
                <w:b/>
                <w:color w:val="000000" w:themeColor="text1"/>
              </w:rPr>
            </w:pPr>
            <w:r>
              <w:rPr>
                <w:b/>
                <w:color w:val="000000" w:themeColor="text1"/>
                <w:spacing w:val="-10"/>
                <w:szCs w:val="21"/>
              </w:rPr>
              <w:t>□</w:t>
            </w:r>
            <w:r>
              <w:rPr>
                <w:b/>
                <w:color w:val="000000" w:themeColor="text1"/>
              </w:rPr>
              <w:t>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rPr>
                <w:b/>
                <w:color w:val="000000" w:themeColor="text1"/>
                <w:spacing w:val="-10"/>
                <w:sz w:val="22"/>
                <w:szCs w:val="22"/>
              </w:rPr>
            </w:pPr>
            <w:r>
              <w:rPr>
                <w:rFonts w:ascii="MS Mincho" w:hAnsi="MS Mincho" w:eastAsia="MS Mincho" w:cs="MS Mincho"/>
                <w:b/>
                <w:color w:val="000000" w:themeColor="text1"/>
                <w:spacing w:val="-10"/>
                <w:szCs w:val="21"/>
              </w:rPr>
              <w:t>☑</w:t>
            </w:r>
            <w:r>
              <w:rPr>
                <w:b/>
                <w:color w:val="000000" w:themeColor="text1"/>
                <w:spacing w:val="-4"/>
              </w:rPr>
              <w:t>在完成纠正措施后</w:t>
            </w:r>
            <w:r>
              <w:rPr>
                <w:b/>
                <w:color w:val="000000" w:themeColor="text1"/>
              </w:rPr>
              <w:t>推荐认证注册</w:t>
            </w:r>
            <w:r>
              <w:rPr>
                <w:b/>
                <w:color w:val="000000" w:themeColor="text1"/>
                <w:szCs w:val="21"/>
              </w:rPr>
              <w:t>(</w:t>
            </w:r>
            <w:r>
              <w:rPr>
                <w:rFonts w:ascii="MS Mincho" w:hAnsi="MS Mincho" w:eastAsia="MS Mincho" w:cs="MS Mincho"/>
                <w:b/>
                <w:color w:val="000000" w:themeColor="text1"/>
                <w:spacing w:val="-10"/>
                <w:szCs w:val="21"/>
              </w:rPr>
              <w:t>☑</w:t>
            </w:r>
            <w:r>
              <w:rPr>
                <w:b/>
                <w:color w:val="000000" w:themeColor="text1"/>
                <w:szCs w:val="21"/>
              </w:rPr>
              <w:t xml:space="preserve">QMS  </w:t>
            </w:r>
            <w:r>
              <w:rPr>
                <w:b/>
                <w:color w:val="000000" w:themeColor="text1"/>
                <w:spacing w:val="-10"/>
                <w:sz w:val="32"/>
                <w:szCs w:val="32"/>
              </w:rPr>
              <w:t>□</w:t>
            </w:r>
            <w:r>
              <w:rPr>
                <w:b/>
                <w:color w:val="000000" w:themeColor="text1"/>
                <w:szCs w:val="21"/>
              </w:rPr>
              <w:t xml:space="preserve">EMS   </w:t>
            </w:r>
            <w:r>
              <w:rPr>
                <w:rFonts w:ascii="MS Mincho" w:hAnsi="MS Mincho" w:eastAsia="MS Mincho" w:cs="MS Mincho"/>
                <w:b/>
                <w:color w:val="000000" w:themeColor="text1"/>
                <w:spacing w:val="-10"/>
                <w:szCs w:val="21"/>
              </w:rPr>
              <w:t>☑</w:t>
            </w:r>
            <w:r>
              <w:rPr>
                <w:b/>
                <w:color w:val="000000" w:themeColor="text1"/>
                <w:szCs w:val="21"/>
              </w:rPr>
              <w:t>OHSMS)</w:t>
            </w:r>
          </w:p>
          <w:p>
            <w:pPr>
              <w:rPr>
                <w:b/>
                <w:color w:val="000000" w:themeColor="text1"/>
                <w:spacing w:val="-4"/>
                <w:szCs w:val="21"/>
              </w:rPr>
            </w:pPr>
            <w:r>
              <w:rPr>
                <w:b/>
                <w:color w:val="000000" w:themeColor="text1"/>
                <w:spacing w:val="-10"/>
                <w:szCs w:val="21"/>
              </w:rPr>
              <w:t>□</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rPr>
                <w:b/>
                <w:color w:val="000000" w:themeColor="text1"/>
                <w:spacing w:val="-4"/>
                <w:szCs w:val="21"/>
              </w:rPr>
            </w:pPr>
            <w:r>
              <w:rPr>
                <w:b/>
                <w:color w:val="000000" w:themeColor="text1"/>
                <w:spacing w:val="-10"/>
                <w:szCs w:val="21"/>
              </w:rPr>
              <w:t>□</w:t>
            </w:r>
            <w:r>
              <w:rPr>
                <w:b/>
                <w:color w:val="000000" w:themeColor="text1"/>
                <w:spacing w:val="-4"/>
              </w:rPr>
              <w:t>(在完成纠正措施后</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rPr>
                <w:b/>
                <w:color w:val="000000" w:themeColor="text1"/>
                <w:spacing w:val="-4"/>
                <w:szCs w:val="21"/>
              </w:rPr>
            </w:pPr>
            <w:r>
              <w:rPr>
                <w:b/>
                <w:color w:val="000000" w:themeColor="text1"/>
                <w:spacing w:val="-10"/>
                <w:szCs w:val="21"/>
              </w:rPr>
              <w:t>□</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rPr>
                <w:b/>
                <w:color w:val="000000" w:themeColor="text1"/>
                <w:szCs w:val="21"/>
              </w:rPr>
            </w:pPr>
            <w:r>
              <w:rPr>
                <w:b/>
                <w:color w:val="000000" w:themeColor="text1"/>
                <w:spacing w:val="-10"/>
                <w:szCs w:val="21"/>
              </w:rPr>
              <w:t>□</w:t>
            </w:r>
            <w:r>
              <w:rPr>
                <w:b/>
                <w:color w:val="000000" w:themeColor="text1"/>
                <w:spacing w:val="-4"/>
              </w:rPr>
              <w:t>在完成纠正措施后</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rPr>
                <w:b/>
                <w:color w:val="000000" w:themeColor="text1"/>
                <w:szCs w:val="21"/>
              </w:rPr>
            </w:pPr>
            <w:r>
              <w:rPr>
                <w:b/>
                <w:color w:val="000000" w:themeColor="text1"/>
                <w:spacing w:val="-10"/>
                <w:szCs w:val="21"/>
              </w:rPr>
              <w:t>□</w:t>
            </w:r>
            <w:r>
              <w:rPr>
                <w:b/>
                <w:color w:val="000000" w:themeColor="text1"/>
              </w:rPr>
              <w:t>延期推荐注册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snapToGrid w:val="0"/>
              <w:rPr>
                <w:b/>
                <w:color w:val="000000" w:themeColor="text1"/>
                <w:szCs w:val="21"/>
              </w:rPr>
            </w:pPr>
            <w:r>
              <w:rPr>
                <w:b/>
                <w:color w:val="000000" w:themeColor="text1"/>
                <w:spacing w:val="-10"/>
                <w:szCs w:val="21"/>
              </w:rPr>
              <w:t>□</w:t>
            </w:r>
            <w:r>
              <w:rPr>
                <w:b/>
                <w:color w:val="000000" w:themeColor="text1"/>
              </w:rPr>
              <w:t>不推荐认证注册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b/>
                <w:color w:val="000000" w:themeColor="text1"/>
                <w:spacing w:val="-10"/>
                <w:szCs w:val="21"/>
              </w:rPr>
              <w:t>□不推荐或缩小推荐范围的说明</w:t>
            </w:r>
            <w:r>
              <w:rPr>
                <w:b/>
                <w:color w:val="000000" w:themeColor="text1"/>
                <w:spacing w:val="-10"/>
                <w:sz w:val="16"/>
                <w:szCs w:val="16"/>
              </w:rPr>
              <w:t>:</w:t>
            </w:r>
          </w:p>
        </w:tc>
      </w:tr>
      <w:tr>
        <w:tblPrEx>
          <w:tblCellMar>
            <w:top w:w="0" w:type="dxa"/>
            <w:left w:w="108" w:type="dxa"/>
            <w:bottom w:w="0" w:type="dxa"/>
            <w:right w:w="108" w:type="dxa"/>
          </w:tblCellMar>
        </w:tblPrEx>
        <w:trPr>
          <w:trHeight w:val="100" w:hRule="atLeast"/>
        </w:trPr>
        <w:tc>
          <w:tcPr>
            <w:tcW w:w="10080" w:type="dxa"/>
            <w:tcBorders>
              <w:top w:val="single" w:color="000000" w:sz="4" w:space="0"/>
            </w:tcBorders>
          </w:tcPr>
          <w:p>
            <w:pPr>
              <w:spacing w:line="360" w:lineRule="auto"/>
              <w:rPr>
                <w:b/>
                <w:color w:val="000000" w:themeColor="text1"/>
              </w:rPr>
            </w:pPr>
          </w:p>
        </w:tc>
      </w:tr>
    </w:tbl>
    <w:p>
      <w:pPr>
        <w:pStyle w:val="5"/>
        <w:spacing w:before="280" w:after="280" w:line="360" w:lineRule="auto"/>
        <w:ind w:left="-67" w:hanging="924"/>
        <w:rPr>
          <w:rFonts w:ascii="仿宋" w:hAnsi="仿宋" w:eastAsia="仿宋"/>
          <w:color w:val="000000" w:themeColor="text1"/>
          <w:kern w:val="2"/>
          <w:sz w:val="28"/>
          <w:szCs w:val="28"/>
        </w:rPr>
      </w:pPr>
      <w:r>
        <w:rPr>
          <w:b/>
          <w:color w:val="000000" w:themeColor="text1"/>
          <w:sz w:val="26"/>
          <w:szCs w:val="26"/>
        </w:rPr>
        <w:t>十一、</w:t>
      </w:r>
      <w:r>
        <w:rPr>
          <w:rFonts w:ascii="仿宋" w:hAnsi="仿宋" w:eastAsia="仿宋"/>
          <w:color w:val="000000" w:themeColor="text1"/>
          <w:kern w:val="2"/>
          <w:sz w:val="28"/>
          <w:szCs w:val="28"/>
        </w:rPr>
        <w:t xml:space="preserve">审核基于对可获得信息的抽样过程的免责声明； </w:t>
      </w:r>
    </w:p>
    <w:p>
      <w:pPr>
        <w:snapToGrid w:val="0"/>
        <w:spacing w:line="360" w:lineRule="auto"/>
        <w:ind w:left="-853" w:firstLine="424"/>
        <w:jc w:val="left"/>
        <w:rPr>
          <w:b/>
          <w:color w:val="000000" w:themeColor="text1"/>
        </w:rPr>
      </w:pPr>
      <w:r>
        <w:rPr>
          <w:rFonts w:ascii="方正仿宋简体" w:hAns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rPr>
          <w:b/>
          <w:color w:val="000000" w:themeColor="text1"/>
          <w:sz w:val="14"/>
          <w:szCs w:val="14"/>
        </w:rPr>
      </w:pPr>
      <w:r>
        <w:rPr>
          <w:b/>
          <w:color w:val="000000" w:themeColor="text1"/>
          <w:sz w:val="26"/>
          <w:szCs w:val="26"/>
        </w:rPr>
        <w:t>十二、不符合项纠正措施要求</w:t>
      </w:r>
    </w:p>
    <w:p>
      <w:pPr>
        <w:spacing w:line="360" w:lineRule="auto"/>
        <w:ind w:left="-850" w:firstLine="422"/>
        <w:rPr>
          <w:b/>
          <w:color w:val="000000" w:themeColor="text1"/>
        </w:rPr>
      </w:pPr>
      <w:r>
        <w:rPr>
          <w:b/>
          <w:color w:val="000000" w:themeColor="text1"/>
        </w:rPr>
        <w:t>一般不符合报告在天/严重不符合在30天针对不符合原因制定并实施纠正措施。验证方式见不符合项报告。</w:t>
      </w:r>
    </w:p>
    <w:p>
      <w:pPr>
        <w:numPr>
          <w:ilvl w:val="0"/>
          <w:numId w:val="3"/>
        </w:numPr>
        <w:spacing w:before="156" w:after="156"/>
        <w:ind w:left="1" w:hanging="851"/>
        <w:rPr>
          <w:b/>
          <w:color w:val="000000" w:themeColor="text1"/>
          <w:sz w:val="26"/>
          <w:szCs w:val="26"/>
        </w:rPr>
      </w:pPr>
      <w:r>
        <w:rPr>
          <w:rFonts w:ascii="仿宋" w:hAnsi="仿宋" w:eastAsia="仿宋" w:cstheme="minorBidi"/>
          <w:color w:val="000000" w:themeColor="text1"/>
          <w:sz w:val="28"/>
          <w:szCs w:val="28"/>
        </w:rPr>
        <w:t>任何影响审核方案的重要事项</w:t>
      </w:r>
      <w:r>
        <w:rPr>
          <w:b/>
          <w:color w:val="000000" w:themeColor="text1"/>
          <w:sz w:val="26"/>
          <w:szCs w:val="26"/>
        </w:rPr>
        <w:t>：</w:t>
      </w:r>
    </w:p>
    <w:p>
      <w:pPr>
        <w:numPr>
          <w:numId w:val="0"/>
        </w:numPr>
        <w:spacing w:before="156" w:after="156"/>
        <w:ind w:left="-850" w:leftChars="0"/>
        <w:rPr>
          <w:b/>
          <w:color w:val="000000" w:themeColor="text1"/>
          <w:sz w:val="26"/>
          <w:szCs w:val="26"/>
        </w:rPr>
      </w:pPr>
      <w:bookmarkStart w:id="16" w:name="_GoBack"/>
      <w:bookmarkEnd w:id="16"/>
    </w:p>
    <w:p>
      <w:pPr>
        <w:snapToGrid w:val="0"/>
        <w:spacing w:after="156" w:line="360" w:lineRule="auto"/>
        <w:ind w:left="1" w:hanging="851"/>
        <w:rPr>
          <w:b/>
          <w:color w:val="000000" w:themeColor="text1"/>
          <w:sz w:val="16"/>
          <w:szCs w:val="16"/>
        </w:rPr>
      </w:pPr>
      <w:r>
        <w:rPr>
          <w:b/>
          <w:color w:val="000000" w:themeColor="text1"/>
          <w:sz w:val="26"/>
          <w:szCs w:val="26"/>
        </w:rPr>
        <w:t>十四、审核组签字</w:t>
      </w:r>
    </w:p>
    <w:p>
      <w:pPr>
        <w:snapToGrid w:val="0"/>
        <w:spacing w:after="156" w:line="360" w:lineRule="auto"/>
        <w:ind w:left="1" w:hanging="68"/>
        <w:rPr>
          <w:b/>
          <w:color w:val="000000" w:themeColor="text1"/>
          <w:sz w:val="26"/>
          <w:szCs w:val="26"/>
        </w:rPr>
      </w:pPr>
      <w:r>
        <w:rPr>
          <w:b/>
          <w:color w:val="000000" w:themeColor="text1"/>
          <w:sz w:val="26"/>
          <w:szCs w:val="26"/>
        </w:rPr>
        <w:t>审核组组长（签名）：</w:t>
      </w:r>
    </w:p>
    <w:p>
      <w:pPr>
        <w:snapToGrid w:val="0"/>
        <w:spacing w:after="156" w:line="360" w:lineRule="auto"/>
        <w:ind w:left="1" w:hanging="68"/>
        <w:rPr>
          <w:b/>
          <w:color w:val="000000" w:themeColor="text1"/>
          <w:sz w:val="26"/>
          <w:szCs w:val="26"/>
        </w:rPr>
      </w:pPr>
      <w:r>
        <w:rPr>
          <w:b/>
          <w:color w:val="000000" w:themeColor="text1"/>
          <w:sz w:val="26"/>
          <w:szCs w:val="26"/>
        </w:rPr>
        <w:t>审核组组员（签名）：</w:t>
      </w:r>
    </w:p>
    <w:p>
      <w:pPr>
        <w:snapToGrid w:val="0"/>
        <w:spacing w:line="360" w:lineRule="auto"/>
        <w:ind w:firstLine="3080"/>
        <w:rPr>
          <w:b/>
          <w:color w:val="000000" w:themeColor="text1"/>
          <w:sz w:val="16"/>
          <w:szCs w:val="16"/>
        </w:rPr>
      </w:pPr>
      <w:r>
        <w:rPr>
          <w:b/>
          <w:color w:val="000000" w:themeColor="text1"/>
        </w:rPr>
        <w:t>日期：2021</w:t>
      </w:r>
      <w:r>
        <w:rPr>
          <w:rFonts w:asciiTheme="minorEastAsia" w:hAnsiTheme="minorEastAsia"/>
          <w:b/>
          <w:color w:val="000000" w:themeColor="text1"/>
        </w:rPr>
        <w:t>年</w:t>
      </w:r>
      <w:r>
        <w:rPr>
          <w:rFonts w:asciiTheme="minorEastAsia" w:hAnsiTheme="minorEastAsia" w:eastAsiaTheme="minorEastAsia"/>
          <w:b/>
          <w:color w:val="000000" w:themeColor="text1"/>
        </w:rPr>
        <w:t>7</w:t>
      </w:r>
      <w:r>
        <w:rPr>
          <w:rFonts w:asciiTheme="minorEastAsia" w:hAnsiTheme="minorEastAsia"/>
          <w:b/>
          <w:color w:val="000000" w:themeColor="text1"/>
        </w:rPr>
        <w:t>月1</w:t>
      </w:r>
      <w:r>
        <w:rPr>
          <w:rFonts w:asciiTheme="minorEastAsia" w:hAnsiTheme="minorEastAsia" w:eastAsiaTheme="minorEastAsia"/>
          <w:b/>
          <w:color w:val="000000" w:themeColor="text1"/>
        </w:rPr>
        <w:t xml:space="preserve">5 </w:t>
      </w:r>
      <w:r>
        <w:rPr>
          <w:rFonts w:asciiTheme="minorEastAsia" w:hAnsiTheme="minorEastAsia"/>
          <w:b/>
          <w:color w:val="000000" w:themeColor="text1"/>
        </w:rPr>
        <w:t>日</w:t>
      </w:r>
    </w:p>
    <w:p>
      <w:pPr>
        <w:spacing w:before="156" w:after="156"/>
        <w:ind w:left="1" w:hanging="851"/>
        <w:rPr>
          <w:b/>
          <w:color w:val="000000" w:themeColor="text1"/>
          <w:sz w:val="26"/>
          <w:szCs w:val="26"/>
        </w:rPr>
      </w:pPr>
      <w:r>
        <w:rPr>
          <w:b/>
          <w:color w:val="000000" w:themeColor="text1"/>
          <w:sz w:val="26"/>
          <w:szCs w:val="26"/>
        </w:rPr>
        <w:t>十五、纠正措施验证结论：</w:t>
      </w:r>
    </w:p>
    <w:p>
      <w:pPr>
        <w:snapToGrid w:val="0"/>
        <w:spacing w:before="156" w:after="156" w:line="360" w:lineRule="auto"/>
        <w:ind w:hanging="424"/>
        <w:rPr>
          <w:b/>
          <w:color w:val="000000" w:themeColor="text1"/>
          <w:sz w:val="26"/>
          <w:szCs w:val="26"/>
        </w:rPr>
      </w:pPr>
      <w:r>
        <w:rPr>
          <w:b/>
          <w:bCs/>
          <w:color w:val="000000" w:themeColor="text1"/>
          <w:szCs w:val="21"/>
        </w:rPr>
        <w:t>1.  审核中发现的</w:t>
      </w:r>
      <w:r>
        <w:rPr>
          <w:rFonts w:ascii="MS Mincho" w:hAnsi="MS Mincho" w:eastAsia="MS Mincho" w:cs="MS Mincho"/>
          <w:b/>
          <w:bCs/>
          <w:szCs w:val="21"/>
        </w:rPr>
        <w:t>☑</w:t>
      </w:r>
      <w:r>
        <w:rPr>
          <w:b/>
          <w:color w:val="000000" w:themeColor="text1"/>
          <w:szCs w:val="21"/>
        </w:rPr>
        <w:t>QMS( 1  )个一般不符合，( 0 )个严重不符合，</w:t>
      </w:r>
      <w:r>
        <w:rPr>
          <w:b/>
          <w:color w:val="000000" w:themeColor="text1"/>
          <w:spacing w:val="-10"/>
          <w:szCs w:val="21"/>
        </w:rPr>
        <w:t>□</w:t>
      </w:r>
      <w:r>
        <w:rPr>
          <w:b/>
          <w:color w:val="000000" w:themeColor="text1"/>
          <w:szCs w:val="21"/>
        </w:rPr>
        <w:t>验证合格</w:t>
      </w:r>
      <w:r>
        <w:rPr>
          <w:b/>
          <w:color w:val="000000" w:themeColor="text1"/>
          <w:spacing w:val="-10"/>
          <w:szCs w:val="21"/>
        </w:rPr>
        <w:t>□</w:t>
      </w:r>
      <w:r>
        <w:rPr>
          <w:b/>
          <w:color w:val="000000" w:themeColor="text1"/>
          <w:szCs w:val="21"/>
        </w:rPr>
        <w:t>仍有问题</w:t>
      </w:r>
    </w:p>
    <w:p>
      <w:pPr>
        <w:spacing w:line="360" w:lineRule="auto"/>
        <w:rPr>
          <w:b/>
          <w:color w:val="000000" w:themeColor="text1"/>
          <w:szCs w:val="21"/>
        </w:rPr>
      </w:pPr>
      <w:r>
        <w:rPr>
          <w:b/>
          <w:bCs/>
          <w:color w:val="000000" w:themeColor="text1"/>
          <w:szCs w:val="21"/>
        </w:rPr>
        <w:t>审核中发现的</w:t>
      </w:r>
      <w:r>
        <w:rPr>
          <w:b/>
          <w:color w:val="000000" w:themeColor="text1"/>
          <w:spacing w:val="-10"/>
          <w:szCs w:val="21"/>
        </w:rPr>
        <w:t>□</w:t>
      </w:r>
      <w:r>
        <w:rPr>
          <w:b/>
          <w:color w:val="000000" w:themeColor="text1"/>
          <w:szCs w:val="21"/>
        </w:rPr>
        <w:t>EMS(   )个一般不符合，(  )个严重不符合，</w:t>
      </w:r>
      <w:r>
        <w:rPr>
          <w:b/>
          <w:color w:val="000000" w:themeColor="text1"/>
          <w:spacing w:val="-10"/>
          <w:szCs w:val="21"/>
        </w:rPr>
        <w:t>□</w:t>
      </w:r>
      <w:r>
        <w:rPr>
          <w:b/>
          <w:color w:val="000000" w:themeColor="text1"/>
          <w:szCs w:val="21"/>
        </w:rPr>
        <w:t>验证合格</w:t>
      </w:r>
      <w:r>
        <w:rPr>
          <w:b/>
          <w:color w:val="000000" w:themeColor="text1"/>
          <w:spacing w:val="-10"/>
          <w:szCs w:val="21"/>
        </w:rPr>
        <w:t>□</w:t>
      </w:r>
      <w:r>
        <w:rPr>
          <w:b/>
          <w:color w:val="000000" w:themeColor="text1"/>
          <w:szCs w:val="21"/>
        </w:rPr>
        <w:t>仍有问题</w:t>
      </w:r>
    </w:p>
    <w:p>
      <w:pPr>
        <w:spacing w:line="360" w:lineRule="auto"/>
        <w:rPr>
          <w:b/>
          <w:color w:val="000000" w:themeColor="text1"/>
          <w:szCs w:val="21"/>
        </w:rPr>
      </w:pPr>
      <w:r>
        <w:rPr>
          <w:b/>
          <w:bCs/>
          <w:color w:val="000000" w:themeColor="text1"/>
          <w:szCs w:val="21"/>
        </w:rPr>
        <w:t>审核中发现的</w:t>
      </w:r>
      <w:r>
        <w:rPr>
          <w:b/>
          <w:color w:val="000000" w:themeColor="text1"/>
          <w:spacing w:val="-10"/>
          <w:szCs w:val="21"/>
        </w:rPr>
        <w:t>□</w:t>
      </w:r>
      <w:r>
        <w:rPr>
          <w:b/>
          <w:color w:val="000000" w:themeColor="text1"/>
          <w:szCs w:val="21"/>
        </w:rPr>
        <w:t>OHSMS(   )个一般不符合，(  )个严重不符合，</w:t>
      </w:r>
      <w:r>
        <w:rPr>
          <w:b/>
          <w:color w:val="000000" w:themeColor="text1"/>
          <w:spacing w:val="-10"/>
          <w:szCs w:val="21"/>
        </w:rPr>
        <w:t>□</w:t>
      </w:r>
      <w:r>
        <w:rPr>
          <w:b/>
          <w:color w:val="000000" w:themeColor="text1"/>
          <w:szCs w:val="21"/>
        </w:rPr>
        <w:t>验证合格</w:t>
      </w:r>
      <w:r>
        <w:rPr>
          <w:b/>
          <w:color w:val="000000" w:themeColor="text1"/>
          <w:spacing w:val="-10"/>
          <w:szCs w:val="21"/>
        </w:rPr>
        <w:t>□</w:t>
      </w:r>
      <w:r>
        <w:rPr>
          <w:b/>
          <w:color w:val="000000" w:themeColor="text1"/>
          <w:szCs w:val="21"/>
        </w:rPr>
        <w:t>仍有问题</w:t>
      </w:r>
    </w:p>
    <w:p>
      <w:pPr>
        <w:spacing w:line="360" w:lineRule="auto"/>
        <w:rPr>
          <w:b/>
          <w:color w:val="000000" w:themeColor="text1"/>
          <w:szCs w:val="21"/>
          <w:u w:val="single"/>
        </w:rPr>
      </w:pPr>
      <w:r>
        <w:rPr>
          <w:b/>
          <w:color w:val="000000" w:themeColor="text1"/>
          <w:szCs w:val="21"/>
        </w:rPr>
        <w:t>存在问题说明及意见：</w:t>
      </w:r>
    </w:p>
    <w:p>
      <w:pPr>
        <w:spacing w:after="156"/>
        <w:ind w:firstLine="422"/>
        <w:rPr>
          <w:b/>
          <w:color w:val="000000" w:themeColor="text1"/>
          <w:szCs w:val="21"/>
        </w:rPr>
      </w:pPr>
    </w:p>
    <w:p>
      <w:pPr>
        <w:spacing w:after="156"/>
        <w:ind w:hanging="424"/>
        <w:rPr>
          <w:rFonts w:ascii="宋体" w:hAnsi="宋体"/>
          <w:b/>
          <w:color w:val="000000" w:themeColor="text1"/>
          <w:szCs w:val="21"/>
        </w:rPr>
      </w:pPr>
      <w:r>
        <w:rPr>
          <w:b/>
          <w:color w:val="000000" w:themeColor="text1"/>
          <w:szCs w:val="21"/>
        </w:rPr>
        <w:t>2. 验证结论</w:t>
      </w:r>
      <w:r>
        <w:rPr>
          <w:rFonts w:ascii="宋体" w:hAnsi="宋体"/>
          <w:b/>
          <w:color w:val="000000" w:themeColor="text1"/>
          <w:szCs w:val="21"/>
        </w:rPr>
        <w:t>:</w:t>
      </w:r>
    </w:p>
    <w:p>
      <w:pPr>
        <w:ind w:firstLine="763"/>
        <w:rPr>
          <w:b/>
          <w:color w:val="000000" w:themeColor="text1"/>
          <w:szCs w:val="21"/>
        </w:rPr>
      </w:pPr>
      <w:r>
        <w:rPr>
          <w:rFonts w:ascii="MS Mincho" w:hAnsi="MS Mincho" w:eastAsia="MS Mincho" w:cs="MS Mincho"/>
          <w:b/>
          <w:color w:val="000000" w:themeColor="text1"/>
          <w:spacing w:val="-10"/>
          <w:szCs w:val="21"/>
        </w:rPr>
        <w:t>☑</w:t>
      </w:r>
      <w:r>
        <w:rPr>
          <w:b/>
          <w:color w:val="000000" w:themeColor="text1"/>
          <w:szCs w:val="21"/>
        </w:rPr>
        <w:t>推荐注册□不推荐注册</w:t>
      </w:r>
      <w:r>
        <w:rPr>
          <w:b/>
          <w:color w:val="000000" w:themeColor="text1"/>
          <w:spacing w:val="-10"/>
          <w:szCs w:val="21"/>
        </w:rPr>
        <w:t>□推荐重新认证</w:t>
      </w:r>
      <w:r>
        <w:rPr>
          <w:b/>
          <w:color w:val="000000" w:themeColor="text1"/>
          <w:szCs w:val="21"/>
        </w:rPr>
        <w:t>注册（再认证填写）</w:t>
      </w:r>
    </w:p>
    <w:p>
      <w:pPr>
        <w:spacing w:before="312" w:after="156"/>
        <w:rPr>
          <w:rFonts w:asciiTheme="minorEastAsia" w:hAnsiTheme="minorEastAsia" w:eastAsiaTheme="minorEastAsia"/>
          <w:b/>
          <w:color w:val="000000" w:themeColor="text1"/>
        </w:rPr>
      </w:pPr>
      <w:r>
        <w:rPr>
          <w:b/>
          <w:color w:val="000000" w:themeColor="text1"/>
          <w:szCs w:val="21"/>
        </w:rPr>
        <w:t xml:space="preserve">组长签字:                       日期:  </w:t>
      </w:r>
      <w:r>
        <w:rPr>
          <w:b/>
          <w:color w:val="000000" w:themeColor="text1"/>
        </w:rPr>
        <w:t>2021</w:t>
      </w:r>
      <w:r>
        <w:rPr>
          <w:rFonts w:asciiTheme="minorEastAsia" w:hAnsiTheme="minorEastAsia"/>
          <w:b/>
          <w:color w:val="000000" w:themeColor="text1"/>
        </w:rPr>
        <w:t>年</w:t>
      </w:r>
      <w:r>
        <w:rPr>
          <w:rFonts w:asciiTheme="minorEastAsia" w:hAnsiTheme="minorEastAsia" w:eastAsiaTheme="minorEastAsia"/>
          <w:b/>
          <w:color w:val="000000" w:themeColor="text1"/>
        </w:rPr>
        <w:t>7</w:t>
      </w:r>
      <w:r>
        <w:rPr>
          <w:rFonts w:asciiTheme="minorEastAsia" w:hAnsiTheme="minorEastAsia"/>
          <w:b/>
          <w:color w:val="000000" w:themeColor="text1"/>
        </w:rPr>
        <w:t>月</w:t>
      </w:r>
      <w:r>
        <w:rPr>
          <w:rFonts w:asciiTheme="minorEastAsia" w:hAnsiTheme="minorEastAsia" w:eastAsiaTheme="minorEastAsia"/>
          <w:b/>
          <w:color w:val="000000" w:themeColor="text1"/>
        </w:rPr>
        <w:t>19</w:t>
      </w:r>
      <w:r>
        <w:rPr>
          <w:rFonts w:asciiTheme="minorEastAsia" w:hAnsiTheme="minorEastAsia"/>
          <w:b/>
          <w:color w:val="000000" w:themeColor="text1"/>
        </w:rPr>
        <w:t>日</w:t>
      </w:r>
    </w:p>
    <w:p>
      <w:pPr>
        <w:spacing w:before="312" w:after="156"/>
        <w:rPr>
          <w:b/>
          <w:color w:val="000000" w:themeColor="text1"/>
          <w:sz w:val="26"/>
          <w:szCs w:val="26"/>
        </w:rPr>
      </w:pPr>
      <w:r>
        <w:rPr>
          <w:b/>
          <w:color w:val="000000" w:themeColor="text1"/>
          <w:sz w:val="26"/>
          <w:szCs w:val="26"/>
        </w:rPr>
        <w:t>十六、与末次会议结论不同处的说明和其他说明：(技术委员会填写)</w:t>
      </w:r>
    </w:p>
    <w:p>
      <w:pPr>
        <w:spacing w:before="156" w:after="156"/>
        <w:ind w:left="1" w:hanging="851"/>
        <w:rPr>
          <w:b/>
          <w:color w:val="000000" w:themeColor="text1"/>
          <w:sz w:val="26"/>
          <w:szCs w:val="26"/>
        </w:rPr>
      </w:pPr>
      <w:r>
        <w:rPr>
          <w:b/>
          <w:color w:val="000000" w:themeColor="text1"/>
          <w:sz w:val="26"/>
          <w:szCs w:val="26"/>
        </w:rPr>
        <w:t>十七、审核报告的发放范围</w:t>
      </w:r>
      <w:r>
        <w:rPr>
          <w:b/>
          <w:color w:val="000000" w:themeColor="text1"/>
          <w:sz w:val="16"/>
          <w:szCs w:val="16"/>
        </w:rPr>
        <w:t>t</w:t>
      </w:r>
      <w:r>
        <w:rPr>
          <w:b/>
          <w:color w:val="000000" w:themeColor="text1"/>
          <w:sz w:val="26"/>
          <w:szCs w:val="26"/>
        </w:rPr>
        <w:t>：</w:t>
      </w:r>
    </w:p>
    <w:p>
      <w:pPr>
        <w:snapToGrid w:val="0"/>
        <w:spacing w:before="62" w:after="62" w:line="240" w:lineRule="exact"/>
        <w:ind w:left="-164" w:firstLine="162"/>
        <w:rPr>
          <w:b/>
          <w:color w:val="000000" w:themeColor="text1"/>
        </w:rPr>
      </w:pPr>
      <w:r>
        <w:rPr>
          <w:b/>
          <w:color w:val="000000" w:themeColor="text1"/>
        </w:rPr>
        <w:t>受审核方(含附件)：</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 xml:space="preserve">                           1份</w:t>
      </w:r>
    </w:p>
    <w:p>
      <w:pPr>
        <w:snapToGrid w:val="0"/>
        <w:spacing w:before="62" w:after="62" w:line="240" w:lineRule="exact"/>
        <w:ind w:left="-164" w:firstLine="162"/>
        <w:rPr>
          <w:b/>
          <w:color w:val="000000" w:themeColor="text1"/>
        </w:rPr>
      </w:pPr>
      <w:r>
        <w:rPr>
          <w:b/>
          <w:color w:val="000000" w:themeColor="text1"/>
        </w:rPr>
        <w:t>北京国标联合认证有限公司：1份</w:t>
      </w:r>
    </w:p>
    <w:p>
      <w:pPr>
        <w:snapToGrid w:val="0"/>
        <w:spacing w:before="156" w:after="156" w:line="240" w:lineRule="exact"/>
        <w:ind w:left="1" w:hanging="851"/>
        <w:rPr>
          <w:rFonts w:ascii="宋体" w:hAnsi="宋体"/>
          <w:b/>
          <w:color w:val="000000" w:themeColor="text1"/>
          <w:sz w:val="26"/>
          <w:szCs w:val="26"/>
        </w:rPr>
      </w:pPr>
      <w:r>
        <w:rPr>
          <w:b/>
          <w:color w:val="000000" w:themeColor="text1"/>
          <w:sz w:val="26"/>
          <w:szCs w:val="26"/>
        </w:rPr>
        <w:t>十八</w:t>
      </w:r>
      <w:r>
        <w:rPr>
          <w:rFonts w:ascii="宋体" w:hAnsi="宋体"/>
          <w:b/>
          <w:color w:val="000000" w:themeColor="text1"/>
          <w:sz w:val="26"/>
          <w:szCs w:val="26"/>
        </w:rPr>
        <w:t>、附件</w:t>
      </w:r>
    </w:p>
    <w:p>
      <w:pPr>
        <w:snapToGrid w:val="0"/>
        <w:ind w:left="-164" w:firstLine="162"/>
        <w:rPr>
          <w:b/>
          <w:color w:val="000000" w:themeColor="text1"/>
          <w:sz w:val="16"/>
          <w:szCs w:val="16"/>
        </w:rPr>
      </w:pPr>
      <w:r>
        <w:rPr>
          <w:b/>
          <w:color w:val="000000" w:themeColor="text1"/>
          <w:szCs w:val="21"/>
        </w:rPr>
        <w:t xml:space="preserve">1. </w:t>
      </w:r>
      <w:r>
        <w:rPr>
          <w:b/>
          <w:bCs/>
          <w:color w:val="000000" w:themeColor="text1"/>
          <w:szCs w:val="28"/>
        </w:rPr>
        <w:t>审核计划（含项目清单）</w:t>
      </w:r>
    </w:p>
    <w:p>
      <w:pPr>
        <w:ind w:left="-164" w:firstLine="162"/>
        <w:rPr>
          <w:b/>
          <w:bCs/>
          <w:color w:val="000000" w:themeColor="text1"/>
          <w:szCs w:val="28"/>
        </w:rPr>
      </w:pPr>
      <w:r>
        <w:rPr>
          <w:b/>
          <w:bCs/>
          <w:color w:val="000000" w:themeColor="text1"/>
          <w:szCs w:val="28"/>
        </w:rPr>
        <w:t>2. 不符合报告/问题清单</w:t>
      </w:r>
    </w:p>
    <w:p>
      <w:pPr>
        <w:ind w:left="-164" w:firstLine="162"/>
        <w:rPr>
          <w:rFonts w:ascii="宋体" w:hAnsi="宋体"/>
          <w:b/>
          <w:bCs/>
          <w:color w:val="000000" w:themeColor="text1"/>
          <w:szCs w:val="28"/>
        </w:rPr>
      </w:pPr>
      <w:r>
        <w:rPr>
          <w:b/>
          <w:bCs/>
          <w:color w:val="000000" w:themeColor="text1"/>
          <w:szCs w:val="28"/>
        </w:rPr>
        <w:t xml:space="preserve">3. </w:t>
      </w:r>
      <w:r>
        <w:rPr>
          <w:rFonts w:ascii="宋体" w:hAnsi="宋体"/>
          <w:b/>
          <w:bCs/>
          <w:color w:val="000000" w:themeColor="text1"/>
          <w:szCs w:val="28"/>
        </w:rPr>
        <w:t>其他</w:t>
      </w:r>
    </w:p>
    <w:p>
      <w:pPr>
        <w:ind w:left="1" w:hanging="851"/>
        <w:rPr>
          <w:rFonts w:ascii="宋体" w:hAnsi="宋体"/>
          <w:b/>
          <w:color w:val="000000" w:themeColor="text1"/>
          <w:sz w:val="26"/>
          <w:szCs w:val="26"/>
        </w:rPr>
      </w:pPr>
      <w:r>
        <w:rPr>
          <w:rFonts w:ascii="宋体" w:hAnsi="宋体"/>
          <w:b/>
          <w:color w:val="000000" w:themeColor="text1"/>
          <w:sz w:val="26"/>
          <w:szCs w:val="26"/>
        </w:rPr>
        <w:t>十九、填表说明：</w:t>
      </w:r>
    </w:p>
    <w:p>
      <w:pPr>
        <w:spacing w:line="360" w:lineRule="auto"/>
        <w:ind w:left="-163" w:hanging="687"/>
        <w:rPr>
          <w:b/>
          <w:bCs/>
          <w:color w:val="000000" w:themeColor="text1"/>
          <w:szCs w:val="21"/>
        </w:rPr>
      </w:pPr>
      <w:r>
        <w:rPr>
          <w:b/>
          <w:bCs/>
          <w:color w:val="000000" w:themeColor="text1"/>
          <w:szCs w:val="21"/>
        </w:rPr>
        <w:t>1. 本审核报告适用于单体系审核，也适用于多体系结合审核情况；</w:t>
      </w:r>
    </w:p>
    <w:p>
      <w:pPr>
        <w:spacing w:line="360" w:lineRule="auto"/>
        <w:ind w:left="-850"/>
        <w:rPr>
          <w:b/>
          <w:bCs/>
          <w:color w:val="000000" w:themeColor="text1"/>
          <w:szCs w:val="21"/>
        </w:rPr>
      </w:pPr>
      <w:r>
        <w:rPr>
          <w:b/>
          <w:bCs/>
          <w:color w:val="000000" w:themeColor="text1"/>
          <w:szCs w:val="21"/>
        </w:rPr>
        <w:t>2. 应依据审核任务书安排的管理体系领域（指：</w:t>
      </w:r>
      <w:r>
        <w:rPr>
          <w:b/>
          <w:color w:val="000000" w:themeColor="text1"/>
          <w:szCs w:val="21"/>
        </w:rPr>
        <w:t>QMS，  EMS，OHSMS</w:t>
      </w:r>
      <w:r>
        <w:rPr>
          <w:b/>
          <w:bCs/>
          <w:color w:val="000000" w:themeColor="text1"/>
          <w:szCs w:val="21"/>
        </w:rPr>
        <w:t>）和审核类型（指：二阶段、再认证，在相应的</w:t>
      </w:r>
      <w:r>
        <w:rPr>
          <w:b/>
          <w:color w:val="000000" w:themeColor="text1"/>
          <w:szCs w:val="21"/>
        </w:rPr>
        <w:t>□内划“√”；</w:t>
      </w:r>
    </w:p>
    <w:p>
      <w:pPr>
        <w:spacing w:line="360" w:lineRule="auto"/>
        <w:ind w:left="-163" w:hanging="687"/>
        <w:rPr>
          <w:b/>
          <w:bCs/>
          <w:color w:val="000000" w:themeColor="text1"/>
          <w:szCs w:val="21"/>
        </w:rPr>
      </w:pPr>
      <w:r>
        <w:rPr>
          <w:b/>
          <w:bCs/>
          <w:color w:val="000000" w:themeColor="text1"/>
          <w:szCs w:val="21"/>
        </w:rPr>
        <w:t xml:space="preserve">3. </w:t>
      </w:r>
      <w:r>
        <w:rPr>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hanging="687"/>
        <w:rPr>
          <w:b/>
          <w:bCs/>
          <w:color w:val="000000" w:themeColor="text1"/>
          <w:szCs w:val="21"/>
        </w:rPr>
      </w:pPr>
      <w:r>
        <w:rPr>
          <w:b/>
          <w:color w:val="000000" w:themeColor="text1"/>
          <w:szCs w:val="21"/>
        </w:rPr>
        <w:t>4. 公正性声明和审核报告签字处需本人亲笔签名。</w:t>
      </w:r>
    </w:p>
    <w:p>
      <w:pPr>
        <w:spacing w:line="360" w:lineRule="auto"/>
        <w:ind w:left="-163" w:hanging="687"/>
        <w:rPr>
          <w:b/>
          <w:bCs/>
          <w:color w:val="000000" w:themeColor="text1"/>
          <w:szCs w:val="21"/>
        </w:rPr>
      </w:pPr>
      <w:r>
        <w:rPr>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rPr>
          <w:b/>
          <w:bCs/>
          <w:color w:val="000000" w:themeColor="text1"/>
          <w:sz w:val="16"/>
          <w:szCs w:val="16"/>
        </w:rPr>
      </w:pPr>
    </w:p>
    <w:p>
      <w:pPr>
        <w:snapToGrid w:val="0"/>
        <w:spacing w:line="300" w:lineRule="auto"/>
        <w:ind w:firstLine="244"/>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0" w:gutter="0"/>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firstLine="810"/>
      <w:jc w:val="left"/>
      <w:rPr>
        <w:rStyle w:val="10"/>
      </w:rPr>
    </w:pPr>
    <w:bookmarkStart w:id="15" w:name="_Hlk8555230"/>
    <w:r>
      <w:rPr>
        <w:rStyle w:val="10"/>
      </w:rPr>
      <w:drawing>
        <wp:anchor distT="0" distB="0" distL="114300" distR="114300" simplePos="0" relativeHeight="251659264" behindDoc="0" locked="0" layoutInCell="0"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3999" y="0"/>
              <wp:lineTo x="-13" y="3788"/>
              <wp:lineTo x="-13" y="16143"/>
              <wp:lineTo x="5002" y="20887"/>
              <wp:lineTo x="6005" y="20887"/>
              <wp:lineTo x="15032" y="20887"/>
              <wp:lineTo x="16035" y="20887"/>
              <wp:lineTo x="21062" y="15188"/>
              <wp:lineTo x="21062" y="6644"/>
              <wp:lineTo x="20059" y="3788"/>
              <wp:lineTo x="16035" y="0"/>
              <wp:lineTo x="3999" y="0"/>
            </wp:wrapPolygon>
          </wp:wrapTight>
          <wp:docPr id="5"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1"/>
                  <pic:cNvPicPr>
                    <a:picLocks noChangeAspect="1" noChangeArrowheads="1"/>
                  </pic:cNvPicPr>
                </pic:nvPicPr>
                <pic:blipFill>
                  <a:blip r:embed="rId1"/>
                  <a:stretch>
                    <a:fillRect/>
                  </a:stretch>
                </pic:blipFill>
                <pic:spPr>
                  <a:xfrm>
                    <a:off x="0" y="0"/>
                    <a:ext cx="410210" cy="433070"/>
                  </a:xfrm>
                  <a:prstGeom prst="rect">
                    <a:avLst/>
                  </a:prstGeom>
                </pic:spPr>
              </pic:pic>
            </a:graphicData>
          </a:graphic>
        </wp:anchor>
      </w:drawing>
    </w:r>
    <w:r>
      <w:rPr>
        <w:rStyle w:val="10"/>
      </w:rPr>
      <w:t>北京国标联合认证有限公司</w:t>
    </w:r>
    <w:r>
      <w:rPr>
        <w:rStyle w:val="10"/>
      </w:rPr>
      <w:tab/>
    </w:r>
    <w:r>
      <w:rPr>
        <w:rStyle w:val="10"/>
      </w:rPr>
      <w:tab/>
    </w:r>
    <w:r>
      <w:rPr>
        <w:rStyle w:val="10"/>
      </w:rPr>
      <w:tab/>
    </w:r>
    <w:bookmarkEnd w:id="15"/>
    <w:r>
      <mc:AlternateContent>
        <mc:Choice Requires="wps">
          <w:drawing>
            <wp:anchor distT="0" distB="0" distL="114300" distR="114300" simplePos="0" relativeHeight="251659264" behindDoc="1" locked="0" layoutInCell="0" allowOverlap="1">
              <wp:simplePos x="0" y="0"/>
              <wp:positionH relativeFrom="column">
                <wp:posOffset>3166745</wp:posOffset>
              </wp:positionH>
              <wp:positionV relativeFrom="paragraph">
                <wp:posOffset>66675</wp:posOffset>
              </wp:positionV>
              <wp:extent cx="2084070" cy="2565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084070" cy="256540"/>
                      </a:xfrm>
                      <a:prstGeom prst="rect">
                        <a:avLst/>
                      </a:prstGeom>
                      <a:solidFill>
                        <a:srgbClr val="FFFFFF"/>
                      </a:solidFill>
                    </wps:spPr>
                    <wps:txbx>
                      <w:txbxContent>
                        <w:p>
                          <w:pPr>
                            <w:pStyle w:val="13"/>
                            <w:rPr>
                              <w:rFonts w:asciiTheme="minorEastAsia" w:hAnsiTheme="minorEastAsia" w:eastAsiaTheme="minorEastAsia"/>
                            </w:rPr>
                          </w:pPr>
                          <w:r>
                            <w:rPr>
                              <w:rFonts w:asciiTheme="minorEastAsia" w:hAnsiTheme="minorEastAsia" w:eastAsiaTheme="minorEastAsia"/>
                              <w:sz w:val="18"/>
                              <w:szCs w:val="18"/>
                            </w:rPr>
                            <w:t>ISC-B-I-32</w:t>
                          </w:r>
                          <w:r>
                            <w:rPr>
                              <w:rFonts w:asciiTheme="minorEastAsia" w:hAnsiTheme="minorEastAsia"/>
                              <w:sz w:val="18"/>
                              <w:szCs w:val="18"/>
                            </w:rPr>
                            <w:t>管理体系审核报告</w:t>
                          </w:r>
                          <w:r>
                            <w:rPr>
                              <w:rFonts w:asciiTheme="minorEastAsia" w:hAnsiTheme="minorEastAsia" w:eastAsiaTheme="minorEastAsia"/>
                              <w:sz w:val="18"/>
                              <w:szCs w:val="18"/>
                            </w:rPr>
                            <w:t>(03</w:t>
                          </w:r>
                          <w:r>
                            <w:rPr>
                              <w:rFonts w:asciiTheme="minorEastAsia" w:hAnsiTheme="minorEastAsia"/>
                              <w:sz w:val="18"/>
                              <w:szCs w:val="18"/>
                            </w:rPr>
                            <w:t>版</w:t>
                          </w:r>
                          <w:r>
                            <w:rPr>
                              <w:rFonts w:asciiTheme="minorEastAsia" w:hAnsiTheme="minorEastAsia" w:eastAsiaTheme="minorEastAsia"/>
                              <w:sz w:val="18"/>
                              <w:szCs w:val="18"/>
                            </w:rPr>
                            <w:t>)</w:t>
                          </w:r>
                        </w:p>
                      </w:txbxContent>
                    </wps:txbx>
                    <wps:bodyPr lIns="91440" tIns="45720" rIns="91440" bIns="45720" anchor="t">
                      <a:noAutofit/>
                    </wps:bodyPr>
                  </wps:wsp>
                </a:graphicData>
              </a:graphic>
            </wp:anchor>
          </w:drawing>
        </mc:Choice>
        <mc:Fallback>
          <w:pict>
            <v:shape id="_x0000_s1026" o:spid="_x0000_s1026" o:spt="202" type="#_x0000_t202" style="position:absolute;left:0pt;margin-left:249.35pt;margin-top:5.25pt;height:20.2pt;width:164.1pt;z-index:-251657216;mso-width-relative:page;mso-height-relative:page;" fillcolor="#FFFFFF" filled="t" stroked="f" coordsize="21600,21600" o:allowincell="f"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yD3EW1gAAAAkBAAAPAAAAAAAA&#10;AAEAIAAAACIAAABkcnMvZG93bnJldi54bWxQSwECFAAUAAAACACHTuJA9f350NsBAACsAwAADgAA&#10;AAAAAAABACAAAAAlAQAAZHJzL2Uyb0RvYy54bWxQSwUGAAAAAAYABgBZAQAAcgUAAAAA&#10;">
              <v:fill on="t" focussize="0,0"/>
              <v:stroke on="f"/>
              <v:imagedata o:title=""/>
              <o:lock v:ext="edit" aspectratio="f"/>
              <v:textbox>
                <w:txbxContent>
                  <w:p>
                    <w:pPr>
                      <w:pStyle w:val="13"/>
                      <w:rPr>
                        <w:rFonts w:asciiTheme="minorEastAsia" w:hAnsiTheme="minorEastAsia" w:eastAsiaTheme="minorEastAsia"/>
                      </w:rPr>
                    </w:pPr>
                    <w:r>
                      <w:rPr>
                        <w:rFonts w:asciiTheme="minorEastAsia" w:hAnsiTheme="minorEastAsia" w:eastAsiaTheme="minorEastAsia"/>
                        <w:sz w:val="18"/>
                        <w:szCs w:val="18"/>
                      </w:rPr>
                      <w:t>ISC-B-I-32</w:t>
                    </w:r>
                    <w:r>
                      <w:rPr>
                        <w:rFonts w:asciiTheme="minorEastAsia" w:hAnsiTheme="minorEastAsia"/>
                        <w:sz w:val="18"/>
                        <w:szCs w:val="18"/>
                      </w:rPr>
                      <w:t>管理体系审核报告</w:t>
                    </w:r>
                    <w:r>
                      <w:rPr>
                        <w:rFonts w:asciiTheme="minorEastAsia" w:hAnsiTheme="minorEastAsia" w:eastAsiaTheme="minorEastAsia"/>
                        <w:sz w:val="18"/>
                        <w:szCs w:val="18"/>
                      </w:rPr>
                      <w:t>(03</w:t>
                    </w:r>
                    <w:r>
                      <w:rPr>
                        <w:rFonts w:asciiTheme="minorEastAsia" w:hAnsiTheme="minorEastAsia"/>
                        <w:sz w:val="18"/>
                        <w:szCs w:val="18"/>
                      </w:rPr>
                      <w:t>版</w:t>
                    </w:r>
                    <w:r>
                      <w:rPr>
                        <w:rFonts w:asciiTheme="minorEastAsia" w:hAnsiTheme="minorEastAsia" w:eastAsiaTheme="minorEastAsia"/>
                        <w:sz w:val="18"/>
                        <w:szCs w:val="18"/>
                      </w:rPr>
                      <w:t>)</w:t>
                    </w:r>
                  </w:p>
                </w:txbxContent>
              </v:textbox>
            </v:shape>
          </w:pict>
        </mc:Fallback>
      </mc:AlternateContent>
    </w:r>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4FC"/>
    <w:multiLevelType w:val="multilevel"/>
    <w:tmpl w:val="058034FC"/>
    <w:lvl w:ilvl="0" w:tentative="0">
      <w:start w:val="1"/>
      <w:numFmt w:val="taiwaneseCountingThousand"/>
      <w:lvlText w:val="%1、"/>
      <w:lvlJc w:val="left"/>
      <w:pPr>
        <w:tabs>
          <w:tab w:val="left" w:pos="0"/>
        </w:tabs>
        <w:ind w:left="540" w:hanging="54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1AD0CF21"/>
    <w:multiLevelType w:val="singleLevel"/>
    <w:tmpl w:val="1AD0CF21"/>
    <w:lvl w:ilvl="0" w:tentative="0">
      <w:start w:val="13"/>
      <w:numFmt w:val="chineseCounting"/>
      <w:suff w:val="space"/>
      <w:lvlText w:val="%1、"/>
      <w:lvlJc w:val="left"/>
      <w:rPr>
        <w:rFonts w:hint="eastAsia"/>
      </w:rPr>
    </w:lvl>
  </w:abstractNum>
  <w:abstractNum w:abstractNumId="2">
    <w:nsid w:val="33341D2E"/>
    <w:multiLevelType w:val="multilevel"/>
    <w:tmpl w:val="33341D2E"/>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autoHyphenation/>
  <w:characterSpacingControl w:val="doNotCompress"/>
  <w:compat>
    <w:balanceSingleByteDoubleByteWidth/>
    <w:doNotExpandShiftReturn/>
    <w:useFELayout/>
    <w:compatSetting w:name="compatibilityMode" w:uri="http://schemas.microsoft.com/office/word" w:val="12"/>
  </w:compat>
  <w:rsids>
    <w:rsidRoot w:val="00D803B6"/>
    <w:rsid w:val="00041D57"/>
    <w:rsid w:val="000956ED"/>
    <w:rsid w:val="000D1E9C"/>
    <w:rsid w:val="000E7950"/>
    <w:rsid w:val="00107922"/>
    <w:rsid w:val="00142286"/>
    <w:rsid w:val="00150211"/>
    <w:rsid w:val="001F1B6F"/>
    <w:rsid w:val="00216584"/>
    <w:rsid w:val="002533BA"/>
    <w:rsid w:val="002A5EB1"/>
    <w:rsid w:val="002D0FDC"/>
    <w:rsid w:val="002D14AB"/>
    <w:rsid w:val="002E1598"/>
    <w:rsid w:val="00305090"/>
    <w:rsid w:val="00357F83"/>
    <w:rsid w:val="003A4406"/>
    <w:rsid w:val="0046134A"/>
    <w:rsid w:val="004845B1"/>
    <w:rsid w:val="004F111B"/>
    <w:rsid w:val="0053552B"/>
    <w:rsid w:val="0053625F"/>
    <w:rsid w:val="005503FA"/>
    <w:rsid w:val="00604941"/>
    <w:rsid w:val="00690B14"/>
    <w:rsid w:val="006E403B"/>
    <w:rsid w:val="0073327D"/>
    <w:rsid w:val="007370E6"/>
    <w:rsid w:val="007B7E5A"/>
    <w:rsid w:val="007D7B43"/>
    <w:rsid w:val="0080763C"/>
    <w:rsid w:val="008257BB"/>
    <w:rsid w:val="00836995"/>
    <w:rsid w:val="00893A1C"/>
    <w:rsid w:val="00897F7E"/>
    <w:rsid w:val="008A397B"/>
    <w:rsid w:val="008A48C8"/>
    <w:rsid w:val="008F7FF3"/>
    <w:rsid w:val="009031A0"/>
    <w:rsid w:val="00933330"/>
    <w:rsid w:val="00990A08"/>
    <w:rsid w:val="009A167C"/>
    <w:rsid w:val="009B4E02"/>
    <w:rsid w:val="009D7562"/>
    <w:rsid w:val="009E0EB9"/>
    <w:rsid w:val="00A662C4"/>
    <w:rsid w:val="00A84C08"/>
    <w:rsid w:val="00B15943"/>
    <w:rsid w:val="00B7417D"/>
    <w:rsid w:val="00B955B3"/>
    <w:rsid w:val="00BC12AC"/>
    <w:rsid w:val="00BC3D52"/>
    <w:rsid w:val="00C05CEF"/>
    <w:rsid w:val="00C33095"/>
    <w:rsid w:val="00C50F09"/>
    <w:rsid w:val="00CB737F"/>
    <w:rsid w:val="00CE15BF"/>
    <w:rsid w:val="00D01A33"/>
    <w:rsid w:val="00D13D5A"/>
    <w:rsid w:val="00D32C4D"/>
    <w:rsid w:val="00D45A9A"/>
    <w:rsid w:val="00D57B54"/>
    <w:rsid w:val="00D803B6"/>
    <w:rsid w:val="00DA08F4"/>
    <w:rsid w:val="00DA6D83"/>
    <w:rsid w:val="00DB3CC3"/>
    <w:rsid w:val="00DD025E"/>
    <w:rsid w:val="00E373E3"/>
    <w:rsid w:val="00E73D1C"/>
    <w:rsid w:val="00EA3BFB"/>
    <w:rsid w:val="00ED4142"/>
    <w:rsid w:val="00EF6768"/>
    <w:rsid w:val="00F05801"/>
    <w:rsid w:val="00F974F8"/>
    <w:rsid w:val="2F71264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000000"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Autospacing="1"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Internet 链接"/>
    <w:basedOn w:val="8"/>
    <w:semiHidden/>
    <w:unhideWhenUsed/>
    <w:qFormat/>
    <w:uiPriority w:val="99"/>
    <w:rPr>
      <w:color w:val="0000FF"/>
      <w:u w:val="single"/>
    </w:rPr>
  </w:style>
  <w:style w:type="character" w:customStyle="1" w:styleId="10">
    <w:name w:val="Char Char1"/>
    <w:qFormat/>
    <w:locked/>
    <w:uiPriority w:val="0"/>
    <w:rPr>
      <w:rFonts w:ascii="宋体" w:hAnsi="宋体" w:eastAsia="宋体"/>
      <w:kern w:val="2"/>
      <w:sz w:val="21"/>
      <w:lang w:val="en-US" w:eastAsia="zh-CN" w:bidi="ar-SA"/>
    </w:rPr>
  </w:style>
  <w:style w:type="paragraph" w:customStyle="1" w:styleId="11">
    <w:name w:val="列表段落"/>
    <w:basedOn w:val="1"/>
    <w:qFormat/>
    <w:uiPriority w:val="34"/>
    <w:pPr>
      <w:ind w:firstLine="420"/>
    </w:pPr>
  </w:style>
  <w:style w:type="paragraph" w:customStyle="1" w:styleId="12">
    <w:name w:val="东方正文"/>
    <w:basedOn w:val="1"/>
    <w:qFormat/>
    <w:uiPriority w:val="0"/>
    <w:pPr>
      <w:spacing w:line="400" w:lineRule="exact"/>
      <w:ind w:left="284" w:right="284"/>
    </w:pPr>
    <w:rPr>
      <w:sz w:val="24"/>
      <w:szCs w:val="20"/>
    </w:rPr>
  </w:style>
  <w:style w:type="paragraph" w:customStyle="1" w:styleId="13">
    <w:name w:val="框架内容"/>
    <w:basedOn w:val="1"/>
    <w:qFormat/>
    <w:uiPriority w:val="0"/>
  </w:style>
  <w:style w:type="character" w:customStyle="1" w:styleId="14">
    <w:name w:val="页脚 Char"/>
    <w:basedOn w:val="8"/>
    <w:link w:val="3"/>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487D4-8D1B-4190-8D83-76122F5B74B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1639</Words>
  <Characters>9345</Characters>
  <Lines>77</Lines>
  <Paragraphs>21</Paragraphs>
  <TotalTime>342</TotalTime>
  <ScaleCrop>false</ScaleCrop>
  <LinksUpToDate>false</LinksUpToDate>
  <CharactersWithSpaces>10963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汪桂丽</cp:lastModifiedBy>
  <cp:lastPrinted>2019-05-13T03:19:00Z</cp:lastPrinted>
  <dcterms:modified xsi:type="dcterms:W3CDTF">2021-07-23T04:17:28Z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2F60FC3F2756400E9EE974AC45F94CCE</vt:lpwstr>
  </property>
</Properties>
</file>