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成都市海通药业有限公司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24001-2016/ISO14001:2015</w:t>
      </w:r>
      <w:bookmarkEnd w:id="4"/>
    </w:p>
    <w:p>
      <w:pPr>
        <w:ind w:left="-840" w:leftChars="-400" w:firstLine="3" w:firstLineChars="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成都市海通药业有限公司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成都市温江区成都海峡两岸科技产业开发园柳台大道222号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611130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成都市温江区成都海峡两岸科技产业开发园柳台大道222号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611130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17711513640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028-82720780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史凌洋</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刘琴</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资质范围内小容量注射剂的生产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13.02.00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2021-03-01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lang w:eastAsia="zh-CN"/>
              </w:rPr>
              <w:t>总经办</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eastAsia="宋体" w:cs="Times New Roman"/>
                <w:b/>
                <w:color w:val="000000" w:themeColor="text1"/>
                <w:kern w:val="2"/>
                <w:sz w:val="20"/>
                <w:szCs w:val="20"/>
                <w:highlight w:val="none"/>
                <w:lang w:val="en-US" w:eastAsia="zh-CN" w:bidi="ar-SA"/>
              </w:rPr>
            </w:pPr>
            <w:r>
              <w:rPr>
                <w:rFonts w:hint="eastAsia" w:ascii="宋体" w:hAnsi="宋体" w:eastAsia="宋体" w:cs="Times New Roman"/>
                <w:b/>
                <w:color w:val="000000" w:themeColor="text1"/>
                <w:kern w:val="2"/>
                <w:sz w:val="20"/>
                <w:szCs w:val="20"/>
                <w:highlight w:val="none"/>
                <w:lang w:val="en-US" w:eastAsia="zh-CN" w:bidi="ar-SA"/>
              </w:rPr>
              <w:t>生产部、质量部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不合格品控制；纠正和预防措施控制；策划管理；过程监控管理；监视和测量设备管理；过程管理；设备设施管理</w:t>
            </w:r>
            <w:r>
              <w:rPr>
                <w:rFonts w:hint="eastAsia" w:ascii="宋体" w:hAnsi="宋体"/>
                <w:b/>
                <w:color w:val="000000" w:themeColor="text1"/>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市场部</w:t>
            </w:r>
          </w:p>
        </w:tc>
        <w:tc>
          <w:tcPr>
            <w:tcW w:w="6804" w:type="dxa"/>
            <w:vAlign w:val="top"/>
          </w:tcPr>
          <w:p>
            <w:pPr>
              <w:jc w:val="left"/>
              <w:rPr>
                <w:rFonts w:hint="eastAsia"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rPr>
              <w:t>合同管理；客户管理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采购管理；供方管理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资质范围内小容量注射剂的生产</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Cs w:val="21"/>
                <w:highlight w:val="none"/>
              </w:rPr>
              <w:t>中国药典2015年版二部、国家食品药品监督管理总局药品标准YBH00662017、国家药品标准WS1-XG-011-2015、国家药品标准WS1-(YH-002)-2010-2017、国家食品药品监督管理局国家药品标准WS-10001-（HD-0841）-2002、国家食品药品监督管理局国家药品标准(试行）WS-10001-（HD-0214）-2002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olor w:val="000000" w:themeColor="text1"/>
                <w:highlight w:val="none"/>
              </w:rPr>
              <w:t>组织对内外部因素、相关方需求和期望进行了充分的识别，策划和实施有效。组织确定了体系的边界，基本适用。管理体系</w:t>
            </w:r>
            <w:r>
              <w:rPr>
                <w:rFonts w:hint="eastAsia" w:ascii="宋体" w:hAnsi="宋体"/>
                <w:color w:val="000000" w:themeColor="text1"/>
                <w:highlight w:val="none"/>
                <w:lang w:val="en-US" w:eastAsia="zh-CN"/>
              </w:rPr>
              <w:t>Q8.3</w:t>
            </w:r>
            <w:r>
              <w:rPr>
                <w:rFonts w:hint="eastAsia" w:ascii="宋体" w:hAnsi="宋体"/>
                <w:color w:val="000000" w:themeColor="text1"/>
                <w:highlight w:val="none"/>
              </w:rPr>
              <w:t>条款</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ascii="宋体" w:hAnsi="宋体"/>
                <w:b/>
                <w:color w:val="000000" w:themeColor="text1"/>
                <w:sz w:val="20"/>
                <w:szCs w:val="20"/>
                <w:highlight w:val="none"/>
              </w:rPr>
              <w:t>■质量/■环境（组织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eastAsia="宋体" w:cs="Times New Roman"/>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w:t>
            </w:r>
            <w:r>
              <w:rPr>
                <w:rFonts w:hint="eastAsia" w:ascii="宋体" w:hAnsi="宋体" w:eastAsia="宋体" w:cs="Times New Roman"/>
                <w:color w:val="000000" w:themeColor="text1"/>
                <w:highlight w:val="none"/>
              </w:rPr>
              <w:t>理，实际未发生变更。</w:t>
            </w:r>
          </w:p>
          <w:p>
            <w:pPr>
              <w:ind w:firstLine="420" w:firstLineChars="200"/>
              <w:jc w:val="left"/>
              <w:rPr>
                <w:rFonts w:hint="default" w:ascii="宋体" w:hAnsi="宋体" w:eastAsia="宋体" w:cs="Times New Roman"/>
                <w:color w:val="000000" w:themeColor="text1"/>
                <w:highlight w:val="none"/>
                <w:lang w:val="en-US" w:eastAsia="zh-CN"/>
              </w:rPr>
            </w:pPr>
            <w:r>
              <w:rPr>
                <w:rFonts w:hint="eastAsia" w:ascii="宋体" w:hAnsi="宋体" w:eastAsia="宋体" w:cs="Times New Roman"/>
                <w:color w:val="000000" w:themeColor="text1"/>
                <w:highlight w:val="none"/>
                <w:lang w:val="en-US" w:eastAsia="zh-CN"/>
              </w:rPr>
              <w:t>管理方针：</w:t>
            </w:r>
          </w:p>
          <w:p>
            <w:pPr>
              <w:ind w:firstLine="420" w:firstLineChars="200"/>
              <w:jc w:val="left"/>
              <w:rPr>
                <w:rFonts w:hint="eastAsia" w:ascii="宋体" w:hAnsi="宋体" w:eastAsia="宋体" w:cs="Times New Roman"/>
                <w:color w:val="000000" w:themeColor="text1"/>
                <w:highlight w:val="none"/>
              </w:rPr>
            </w:pPr>
            <w:r>
              <w:rPr>
                <w:rFonts w:hint="eastAsia" w:ascii="宋体" w:hAnsi="宋体" w:eastAsia="宋体" w:cs="Times New Roman"/>
                <w:color w:val="000000" w:themeColor="text1"/>
                <w:highlight w:val="none"/>
              </w:rPr>
              <w:t>质量源于设计、形成于生产、做质量领先药品；</w:t>
            </w:r>
          </w:p>
          <w:p>
            <w:pPr>
              <w:ind w:firstLine="420" w:firstLineChars="200"/>
              <w:jc w:val="left"/>
              <w:rPr>
                <w:rFonts w:hint="eastAsia" w:ascii="宋体" w:hAnsi="宋体" w:eastAsia="宋体" w:cs="Times New Roman"/>
                <w:color w:val="000000" w:themeColor="text1"/>
                <w:highlight w:val="none"/>
              </w:rPr>
            </w:pPr>
            <w:r>
              <w:rPr>
                <w:rFonts w:hint="eastAsia" w:ascii="宋体" w:hAnsi="宋体" w:eastAsia="宋体" w:cs="Times New Roman"/>
                <w:color w:val="000000" w:themeColor="text1"/>
                <w:highlight w:val="none"/>
              </w:rPr>
              <w:t>清洁生产，保护环境，促进环境可持续发展；</w:t>
            </w:r>
          </w:p>
          <w:p>
            <w:pPr>
              <w:ind w:firstLine="420" w:firstLineChars="200"/>
              <w:jc w:val="left"/>
              <w:rPr>
                <w:rFonts w:ascii="Times New Roman" w:hAnsi="Times New Roman" w:eastAsia="宋体" w:cs="Times New Roman"/>
                <w:b/>
                <w:color w:val="000000" w:themeColor="text1"/>
                <w:kern w:val="2"/>
                <w:sz w:val="21"/>
                <w:szCs w:val="24"/>
                <w:highlight w:val="none"/>
                <w:lang w:val="en-US" w:eastAsia="zh-CN" w:bidi="ar-SA"/>
              </w:rPr>
            </w:pPr>
            <w:r>
              <w:rPr>
                <w:rFonts w:hint="eastAsia" w:ascii="宋体" w:hAnsi="宋体" w:eastAsia="宋体" w:cs="Times New Roman"/>
                <w:color w:val="000000" w:themeColor="text1"/>
                <w:highlight w:val="none"/>
              </w:rPr>
              <w:t>珍爱健康，预防危险，建设美好生活新家园。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b/>
                <w:color w:val="000000" w:themeColor="text1"/>
                <w:sz w:val="20"/>
                <w:szCs w:val="20"/>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pacing w:val="-4"/>
                <w:szCs w:val="21"/>
                <w:highlight w:val="none"/>
              </w:rPr>
            </w:pPr>
            <w:r>
              <w:rPr>
                <w:rFonts w:hint="eastAsia"/>
                <w:b/>
                <w:color w:val="000000" w:themeColor="text1"/>
                <w:szCs w:val="21"/>
                <w:highlight w:val="none"/>
                <w:lang w:val="en-US" w:eastAsia="zh-CN"/>
              </w:rPr>
              <w:t>8</w:t>
            </w:r>
            <w:r>
              <w:rPr>
                <w:rFonts w:hint="eastAsia"/>
                <w:b/>
                <w:color w:val="000000" w:themeColor="text1"/>
                <w:szCs w:val="21"/>
                <w:highlight w:val="none"/>
              </w:rPr>
              <w:t xml:space="preserve">. </w:t>
            </w:r>
            <w:r>
              <w:rPr>
                <w:rFonts w:hint="eastAsia" w:ascii="宋体" w:hAnsi="宋体"/>
                <w:b/>
                <w:color w:val="000000" w:themeColor="text1"/>
                <w:spacing w:val="-4"/>
                <w:szCs w:val="21"/>
                <w:highlight w:val="none"/>
              </w:rPr>
              <w:t>法律法规及其他要求</w:t>
            </w:r>
          </w:p>
          <w:p>
            <w:pPr>
              <w:tabs>
                <w:tab w:val="left" w:pos="540"/>
              </w:tabs>
              <w:spacing w:line="300" w:lineRule="exact"/>
              <w:rPr>
                <w:rFonts w:ascii="宋体" w:hAnsi="宋体"/>
                <w:b/>
                <w:color w:val="000000" w:themeColor="text1"/>
                <w:szCs w:val="21"/>
                <w:highlight w:val="none"/>
              </w:rPr>
            </w:pP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获取法律法规项，■法律法规获取充分，□法律法规获取有遗漏，缺少</w:t>
            </w: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结合公司的■产品/服务■环境因素，■确定 □未确定法律法规要求的具体条款，</w:t>
            </w: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法律法规的宣传方式：培训、会议、张贴。</w:t>
            </w:r>
          </w:p>
          <w:p>
            <w:pPr>
              <w:pStyle w:val="13"/>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公司环境目标为：</w:t>
            </w:r>
          </w:p>
          <w:p>
            <w:pPr>
              <w:spacing w:line="300" w:lineRule="exact"/>
              <w:ind w:firstLine="420" w:firstLineChars="200"/>
              <w:rPr>
                <w:rFonts w:hint="eastAsia" w:ascii="宋体" w:hAnsi="宋体" w:cs="Times New Roman"/>
                <w:szCs w:val="21"/>
                <w:highlight w:val="none"/>
                <w:lang w:val="zh-CN" w:eastAsia="zh-CN"/>
              </w:rPr>
            </w:pPr>
            <w:r>
              <w:rPr>
                <w:rFonts w:hint="eastAsia" w:ascii="宋体" w:hAnsi="宋体" w:cs="宋体"/>
                <w:color w:val="000000"/>
                <w:kern w:val="0"/>
                <w:szCs w:val="21"/>
                <w:highlight w:val="none"/>
                <w:lang w:val="en-US" w:eastAsia="zh-CN"/>
              </w:rPr>
              <w:t>1、</w:t>
            </w:r>
            <w:r>
              <w:rPr>
                <w:rFonts w:hint="eastAsia" w:ascii="宋体" w:hAnsi="宋体" w:cs="Times New Roman"/>
                <w:szCs w:val="21"/>
                <w:highlight w:val="none"/>
                <w:lang w:val="zh-CN" w:eastAsia="zh-CN"/>
              </w:rPr>
              <w:t>火灾事故0发生；</w:t>
            </w:r>
          </w:p>
          <w:p>
            <w:pPr>
              <w:spacing w:line="300" w:lineRule="exact"/>
              <w:ind w:firstLine="420" w:firstLineChars="200"/>
              <w:rPr>
                <w:rFonts w:hint="eastAsia" w:ascii="宋体" w:hAnsi="宋体" w:cs="Times New Roman"/>
                <w:szCs w:val="21"/>
                <w:highlight w:val="none"/>
                <w:lang w:val="zh-CN" w:eastAsia="zh-CN"/>
              </w:rPr>
            </w:pPr>
            <w:r>
              <w:rPr>
                <w:rFonts w:hint="eastAsia" w:ascii="宋体" w:hAnsi="宋体" w:cs="Times New Roman"/>
                <w:szCs w:val="21"/>
                <w:highlight w:val="none"/>
                <w:lang w:val="en-US" w:eastAsia="zh-CN"/>
              </w:rPr>
              <w:t>2、</w:t>
            </w:r>
            <w:r>
              <w:rPr>
                <w:rFonts w:hint="eastAsia" w:ascii="宋体" w:hAnsi="宋体" w:cs="Times New Roman"/>
                <w:szCs w:val="21"/>
                <w:highlight w:val="none"/>
                <w:lang w:val="zh-CN" w:eastAsia="zh-CN"/>
              </w:rPr>
              <w:t>废水、废气、噪声100%达标排放；</w:t>
            </w:r>
          </w:p>
          <w:p>
            <w:pPr>
              <w:spacing w:line="300" w:lineRule="exact"/>
              <w:ind w:firstLine="420" w:firstLineChars="200"/>
              <w:rPr>
                <w:rFonts w:hint="eastAsia" w:ascii="宋体" w:hAnsi="宋体" w:cs="Times New Roman"/>
                <w:szCs w:val="21"/>
                <w:highlight w:val="none"/>
                <w:lang w:val="zh-CN" w:eastAsia="zh-CN"/>
              </w:rPr>
            </w:pPr>
            <w:r>
              <w:rPr>
                <w:rFonts w:hint="eastAsia" w:ascii="宋体" w:hAnsi="宋体" w:cs="Times New Roman"/>
                <w:szCs w:val="21"/>
                <w:highlight w:val="none"/>
                <w:lang w:val="en-US" w:eastAsia="zh-CN"/>
              </w:rPr>
              <w:t>3、</w:t>
            </w:r>
            <w:r>
              <w:rPr>
                <w:rFonts w:hint="eastAsia" w:ascii="宋体" w:hAnsi="宋体" w:cs="Times New Roman"/>
                <w:szCs w:val="21"/>
                <w:highlight w:val="none"/>
                <w:lang w:val="zh-CN" w:eastAsia="zh-CN"/>
              </w:rPr>
              <w:t>化学品泄漏事故0发生；</w:t>
            </w:r>
          </w:p>
          <w:p>
            <w:pPr>
              <w:spacing w:line="300" w:lineRule="exact"/>
              <w:ind w:firstLine="420" w:firstLineChars="200"/>
              <w:rPr>
                <w:rFonts w:hint="eastAsia" w:ascii="宋体" w:hAnsi="宋体" w:cs="Times New Roman"/>
                <w:szCs w:val="21"/>
                <w:highlight w:val="none"/>
                <w:lang w:val="zh-CN" w:eastAsia="zh-CN"/>
              </w:rPr>
            </w:pPr>
            <w:r>
              <w:rPr>
                <w:rFonts w:hint="eastAsia" w:ascii="宋体" w:hAnsi="宋体" w:cs="Times New Roman"/>
                <w:szCs w:val="21"/>
                <w:highlight w:val="none"/>
                <w:lang w:val="en-US" w:eastAsia="zh-CN"/>
              </w:rPr>
              <w:t>4、</w:t>
            </w:r>
            <w:r>
              <w:rPr>
                <w:rFonts w:hint="eastAsia" w:ascii="宋体" w:hAnsi="宋体" w:cs="Times New Roman"/>
                <w:szCs w:val="21"/>
                <w:highlight w:val="none"/>
                <w:lang w:val="zh-CN" w:eastAsia="zh-CN"/>
              </w:rPr>
              <w:t>固体废弃物100%安全转移；</w:t>
            </w:r>
          </w:p>
          <w:p>
            <w:pPr>
              <w:spacing w:line="300" w:lineRule="exact"/>
              <w:ind w:firstLine="420" w:firstLineChars="200"/>
              <w:rPr>
                <w:rFonts w:ascii="宋体" w:hAnsi="宋体" w:eastAsia="宋体" w:cs="Times New Roman"/>
                <w:b/>
                <w:color w:val="000000" w:themeColor="text1"/>
                <w:kern w:val="2"/>
                <w:sz w:val="21"/>
                <w:szCs w:val="24"/>
                <w:highlight w:val="none"/>
                <w:lang w:val="en-US" w:eastAsia="zh-CN" w:bidi="ar-SA"/>
              </w:rPr>
            </w:pPr>
            <w:r>
              <w:rPr>
                <w:rFonts w:hint="eastAsia" w:ascii="宋体" w:hAnsi="宋体" w:cs="Times New Roman"/>
                <w:szCs w:val="21"/>
                <w:highlight w:val="none"/>
                <w:lang w:val="en-US" w:eastAsia="zh-CN"/>
              </w:rPr>
              <w:t>5、</w:t>
            </w:r>
            <w:r>
              <w:rPr>
                <w:rFonts w:hint="eastAsia" w:ascii="宋体" w:hAnsi="宋体" w:cs="Times New Roman"/>
                <w:szCs w:val="21"/>
                <w:highlight w:val="none"/>
                <w:lang w:val="zh-CN" w:eastAsia="zh-CN"/>
              </w:rPr>
              <w:t>环境污染事故0发生。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eastAsia="宋体" w:cs="Times New Roman"/>
                <w:b/>
                <w:color w:val="000000" w:themeColor="text1"/>
                <w:kern w:val="2"/>
                <w:sz w:val="20"/>
                <w:szCs w:val="20"/>
                <w:highlight w:val="none"/>
                <w:lang w:val="en-US" w:eastAsia="zh-CN" w:bidi="ar-SA"/>
              </w:rPr>
            </w:pPr>
            <w:r>
              <w:rPr>
                <w:rFonts w:hint="eastAsia" w:ascii="宋体" w:hAnsi="宋体" w:cs="宋体"/>
                <w:color w:val="000000" w:themeColor="text1"/>
                <w:highlight w:val="none"/>
              </w:rPr>
              <w:t>公司按照申请认证的标准要求，建立并形成了文件化的</w:t>
            </w:r>
            <w:r>
              <w:rPr>
                <w:rFonts w:hint="eastAsia" w:ascii="宋体" w:hAnsi="宋体" w:cs="宋体"/>
                <w:color w:val="000000" w:themeColor="text1"/>
                <w:highlight w:val="none"/>
                <w:lang w:val="en-US" w:eastAsia="zh-CN"/>
              </w:rPr>
              <w:t>质量、</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21</w:t>
            </w:r>
            <w:r>
              <w:rPr>
                <w:rFonts w:hint="eastAsia" w:ascii="宋体" w:hAnsi="宋体" w:cs="Arial"/>
                <w:color w:val="000000" w:themeColor="text1"/>
                <w:highlight w:val="none"/>
              </w:rPr>
              <w:t xml:space="preserve"> </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w:t>
            </w:r>
            <w:r>
              <w:rPr>
                <w:rFonts w:hint="eastAsia" w:ascii="宋体" w:hAnsi="宋体"/>
                <w:szCs w:val="21"/>
              </w:rPr>
              <w:t>资质范围内小容量注射剂的生产</w:t>
            </w:r>
            <w:r>
              <w:rPr>
                <w:rFonts w:hint="eastAsia" w:ascii="宋体" w:hAnsi="宋体"/>
                <w:bCs/>
                <w:iCs/>
                <w:szCs w:val="22"/>
                <w:highlight w:val="none"/>
              </w:rPr>
              <w:t>相关</w:t>
            </w:r>
            <w:r>
              <w:rPr>
                <w:rFonts w:hint="eastAsia" w:ascii="宋体" w:hAnsi="宋体"/>
                <w:bCs/>
                <w:iCs/>
                <w:szCs w:val="22"/>
                <w:highlight w:val="none"/>
                <w:lang w:val="en-US" w:eastAsia="zh-CN"/>
              </w:rPr>
              <w:t>的</w:t>
            </w:r>
            <w:r>
              <w:rPr>
                <w:rFonts w:hint="eastAsia" w:ascii="宋体" w:hAnsi="宋体"/>
                <w:bCs/>
                <w:iCs/>
                <w:szCs w:val="22"/>
                <w:highlight w:val="none"/>
              </w:rPr>
              <w:t>运行环境，可以维持管理体系的正常运行。</w:t>
            </w:r>
          </w:p>
          <w:p>
            <w:pPr>
              <w:spacing w:line="300" w:lineRule="exact"/>
              <w:rPr>
                <w:rFonts w:ascii="宋体" w:hAnsi="宋体" w:eastAsia="宋体" w:cs="Times New Roman"/>
                <w:b/>
                <w:color w:val="000000" w:themeColor="text1"/>
                <w:kern w:val="2"/>
                <w:sz w:val="20"/>
                <w:szCs w:val="20"/>
                <w:highlight w:val="none"/>
                <w:lang w:val="en-US" w:eastAsia="zh-CN" w:bidi="ar-SA"/>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0" w:firstLineChars="200"/>
              <w:rPr>
                <w:rFonts w:ascii="宋体" w:hAnsi="宋体" w:eastAsia="宋体" w:cs="Times New Roman"/>
                <w:b/>
                <w:color w:val="000000" w:themeColor="text1"/>
                <w:kern w:val="2"/>
                <w:sz w:val="20"/>
                <w:szCs w:val="20"/>
                <w:highlight w:val="none"/>
                <w:lang w:val="en-US" w:eastAsia="zh-CN" w:bidi="ar-SA"/>
              </w:rPr>
            </w:pPr>
            <w:r>
              <w:rPr>
                <w:rFonts w:hint="eastAsia" w:ascii="宋体" w:hAnsi="宋体" w:cs="宋体"/>
                <w:szCs w:val="21"/>
                <w:highlight w:val="none"/>
                <w:lang w:val="en-US" w:eastAsia="zh-CN"/>
              </w:rPr>
              <w:t>生产面积：2000㎡，办公面积：300㎡</w:t>
            </w:r>
            <w:r>
              <w:rPr>
                <w:rFonts w:hint="eastAsia" w:ascii="宋体" w:hAnsi="宋体" w:cs="宋体"/>
                <w:szCs w:val="21"/>
                <w:highlight w:val="none"/>
              </w:rPr>
              <w:t>平方米左右</w:t>
            </w:r>
            <w:r>
              <w:rPr>
                <w:rFonts w:hint="eastAsia" w:ascii="宋体" w:hAnsi="宋体" w:cs="宋体"/>
                <w:szCs w:val="21"/>
                <w:highlight w:val="none"/>
                <w:lang w:eastAsia="zh-CN"/>
              </w:rPr>
              <w:t>，</w:t>
            </w:r>
            <w:r>
              <w:rPr>
                <w:rFonts w:hint="eastAsia" w:ascii="宋体" w:hAnsi="宋体" w:cs="宋体"/>
                <w:szCs w:val="21"/>
                <w:highlight w:val="none"/>
                <w:lang w:val="en-US" w:eastAsia="zh-CN"/>
              </w:rPr>
              <w:t>库房面积400㎡左右</w:t>
            </w:r>
            <w:r>
              <w:rPr>
                <w:rFonts w:hint="eastAsia" w:ascii="宋体" w:hAnsi="宋体" w:cs="宋体"/>
                <w:szCs w:val="21"/>
                <w:highlight w:val="none"/>
              </w:rPr>
              <w:t>，主要设备包括：办公设备为笔记本电脑、台式电脑、打印机、电话等，生产设备为</w:t>
            </w:r>
            <w:r>
              <w:rPr>
                <w:rFonts w:hint="eastAsia" w:ascii="宋体" w:hAnsi="宋体" w:cs="宋体"/>
                <w:szCs w:val="21"/>
                <w:highlight w:val="none"/>
                <w:lang w:val="en-US" w:eastAsia="zh-CN"/>
              </w:rPr>
              <w:t>洗瓶机、灌装机、灭菌柜、装盒机</w:t>
            </w:r>
            <w:r>
              <w:rPr>
                <w:rFonts w:hint="eastAsia" w:ascii="宋体" w:hAnsi="宋体" w:cs="宋体"/>
                <w:szCs w:val="21"/>
                <w:highlight w:val="none"/>
              </w:rPr>
              <w:t>等。特种设备：</w:t>
            </w:r>
            <w:r>
              <w:rPr>
                <w:rFonts w:hint="eastAsia" w:ascii="宋体" w:hAnsi="宋体" w:cs="宋体"/>
                <w:szCs w:val="21"/>
                <w:highlight w:val="none"/>
                <w:lang w:val="en-US" w:eastAsia="zh-CN"/>
              </w:rPr>
              <w:t>安全阀、储气罐、压力表</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eastAsia="宋体" w:cs="Times New Roman"/>
                <w:b/>
                <w:color w:val="000000" w:themeColor="text1"/>
                <w:kern w:val="2"/>
                <w:sz w:val="20"/>
                <w:szCs w:val="20"/>
                <w:highlight w:val="none"/>
                <w:lang w:val="en-US" w:eastAsia="zh-CN" w:bidi="ar-SA"/>
              </w:rPr>
            </w:pPr>
            <w:r>
              <w:rPr>
                <w:rFonts w:hint="eastAsia" w:ascii="宋体" w:hAnsi="宋体" w:cs="宋体"/>
                <w:szCs w:val="21"/>
                <w:highlight w:val="none"/>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eastAsia="宋体" w:cs="Times New Roman"/>
                <w:b/>
                <w:color w:val="000000" w:themeColor="text1"/>
                <w:kern w:val="2"/>
                <w:sz w:val="20"/>
                <w:szCs w:val="20"/>
                <w:highlight w:val="none"/>
                <w:lang w:val="en-US" w:eastAsia="zh-CN" w:bidi="ar-SA"/>
              </w:rPr>
            </w:pPr>
            <w:r>
              <w:rPr>
                <w:rFonts w:hint="eastAsia" w:ascii="宋体" w:hAnsi="宋体" w:cs="宋体"/>
                <w:szCs w:val="21"/>
                <w:highlight w:val="none"/>
                <w:lang w:val="en-US" w:eastAsia="zh-CN"/>
              </w:rPr>
              <w:t>公司监视和测量设备包括</w:t>
            </w:r>
            <w:r>
              <w:rPr>
                <w:rFonts w:hint="eastAsia"/>
                <w:highlight w:val="none"/>
                <w:lang w:val="en-US" w:eastAsia="zh-CN"/>
              </w:rPr>
              <w:t>温度计、高效液相色谱仪、电子天平等</w:t>
            </w:r>
            <w:r>
              <w:rPr>
                <w:rFonts w:hint="eastAsia" w:ascii="宋体" w:hAnsi="宋体" w:cs="宋体"/>
                <w:szCs w:val="21"/>
                <w:highlight w:val="none"/>
                <w:lang w:val="en-US" w:eastAsia="zh-CN"/>
              </w:rPr>
              <w:t>。提供有效的校准证书。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ind w:firstLine="200" w:firstLineChars="100"/>
              <w:rPr>
                <w:rFonts w:hint="default" w:ascii="宋体" w:hAnsi="宋体" w:eastAsia="宋体" w:cs="Times New Roman"/>
                <w:kern w:val="2"/>
                <w:sz w:val="20"/>
                <w:szCs w:val="20"/>
                <w:highlight w:val="none"/>
                <w:lang w:val="en-US" w:eastAsia="zh-CN" w:bidi="ar-SA"/>
              </w:rPr>
            </w:pPr>
            <w:r>
              <w:rPr>
                <w:rFonts w:hint="eastAsia" w:ascii="宋体" w:hAnsi="宋体"/>
                <w:sz w:val="20"/>
                <w:szCs w:val="20"/>
                <w:highlight w:val="none"/>
              </w:rPr>
              <w:t>消防栓、灭火器</w:t>
            </w:r>
            <w:r>
              <w:rPr>
                <w:rFonts w:hint="eastAsia" w:ascii="宋体" w:hAnsi="宋体"/>
                <w:sz w:val="20"/>
                <w:szCs w:val="20"/>
                <w:highlight w:val="none"/>
                <w:lang w:eastAsia="zh-CN"/>
              </w:rPr>
              <w:t>、</w:t>
            </w:r>
            <w:r>
              <w:rPr>
                <w:rFonts w:hint="eastAsia" w:ascii="宋体" w:hAnsi="宋体"/>
                <w:sz w:val="20"/>
                <w:szCs w:val="20"/>
                <w:highlight w:val="none"/>
                <w:lang w:val="en-US" w:eastAsia="zh-CN"/>
              </w:rPr>
              <w:t>除尘装置、污水处理站等。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p>
          <w:p>
            <w:pPr>
              <w:spacing w:line="240" w:lineRule="exact"/>
              <w:rPr>
                <w:rFonts w:ascii="楷体_GB2312" w:hAnsi="Times New Roman" w:eastAsia="楷体_GB2312" w:cs="Times New Roman"/>
                <w:b/>
                <w:color w:val="000000" w:themeColor="text1"/>
                <w:kern w:val="2"/>
                <w:sz w:val="21"/>
                <w:szCs w:val="21"/>
                <w:highlight w:val="none"/>
                <w:lang w:val="en-US" w:eastAsia="zh-CN" w:bidi="ar-SA"/>
              </w:rPr>
            </w:pPr>
            <w:r>
              <w:rPr>
                <w:rFonts w:hint="eastAsia" w:ascii="楷体_GB2312" w:eastAsia="楷体_GB2312"/>
                <w:b/>
                <w:color w:val="000000" w:themeColor="text1"/>
                <w:szCs w:val="21"/>
                <w:highlight w:val="none"/>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20" w:firstLineChars="200"/>
              <w:rPr>
                <w:rFonts w:ascii="Times New Roman" w:hAnsi="Times New Roman" w:eastAsia="宋体" w:cs="Times New Roman"/>
                <w:b/>
                <w:color w:val="000000" w:themeColor="text1"/>
                <w:kern w:val="2"/>
                <w:sz w:val="20"/>
                <w:szCs w:val="20"/>
                <w:highlight w:val="none"/>
                <w:lang w:val="en-US" w:eastAsia="zh-CN" w:bidi="ar-SA"/>
              </w:rPr>
            </w:pPr>
            <w:r>
              <w:rPr>
                <w:rFonts w:hint="eastAsia" w:ascii="宋体" w:hAnsi="宋体" w:cs="宋体"/>
                <w:color w:val="000000"/>
                <w:szCs w:val="21"/>
                <w:highlight w:val="none"/>
                <w:lang w:val="en-US" w:eastAsia="zh-CN"/>
              </w:rPr>
              <w:t>现场</w:t>
            </w:r>
            <w:r>
              <w:rPr>
                <w:rFonts w:hint="eastAsia" w:ascii="宋体" w:hAnsi="宋体" w:cs="宋体"/>
                <w:color w:val="000000"/>
                <w:szCs w:val="21"/>
                <w:highlight w:val="none"/>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spacing w:line="420" w:lineRule="exact"/>
              <w:ind w:firstLine="420" w:firstLineChars="20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w:t>
            </w:r>
            <w:r>
              <w:rPr>
                <w:rFonts w:hint="eastAsia" w:asciiTheme="minorEastAsia" w:hAnsiTheme="minorEastAsia" w:eastAsiaTheme="minorEastAsia"/>
                <w:bCs/>
                <w:iCs/>
                <w:highlight w:val="none"/>
                <w:lang w:eastAsia="zh-CN"/>
              </w:rPr>
              <w:t>：</w:t>
            </w:r>
            <w:r>
              <w:rPr>
                <w:rFonts w:hint="eastAsia" w:ascii="宋体" w:hAnsi="宋体" w:cs="Times New Roman"/>
                <w:spacing w:val="-8"/>
                <w:szCs w:val="21"/>
                <w:lang w:val="en-US" w:eastAsia="zh-CN"/>
              </w:rPr>
              <w:t>1）潜在火灾；2）噪声的排放；3）固体废弃物（含危废）排放；4）废水；5）废气</w:t>
            </w:r>
            <w:r>
              <w:rPr>
                <w:rFonts w:hint="eastAsia"/>
                <w:szCs w:val="22"/>
                <w:highlight w:val="none"/>
                <w:lang w:val="en-US" w:eastAsia="zh-CN"/>
              </w:rPr>
              <w:t>等</w:t>
            </w:r>
            <w:r>
              <w:rPr>
                <w:rFonts w:hint="eastAsia" w:asciiTheme="minorEastAsia" w:hAnsiTheme="minorEastAsia" w:eastAsiaTheme="minorEastAsia"/>
                <w:bCs/>
                <w:iCs/>
                <w:highlight w:val="none"/>
              </w:rPr>
              <w:t>，需要应对的风险和机遇相关的过程为</w:t>
            </w:r>
            <w:r>
              <w:rPr>
                <w:rFonts w:hint="eastAsia" w:asciiTheme="minorEastAsia" w:hAnsiTheme="minorEastAsia" w:eastAsiaTheme="minorEastAsia"/>
                <w:bCs/>
                <w:iCs/>
                <w:highlight w:val="none"/>
                <w:lang w:val="en-US" w:eastAsia="zh-CN"/>
              </w:rPr>
              <w:t>设计开发</w:t>
            </w:r>
            <w:r>
              <w:rPr>
                <w:rFonts w:hint="eastAsia" w:asciiTheme="minorEastAsia" w:hAnsiTheme="minorEastAsia" w:eastAsiaTheme="minorEastAsia"/>
                <w:bCs/>
                <w:iCs/>
                <w:highlight w:val="none"/>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rFonts w:ascii="Times New Roman" w:hAnsi="Times New Roman" w:eastAsia="宋体" w:cs="Times New Roman"/>
                <w:b/>
                <w:color w:val="000000" w:themeColor="text1"/>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lang w:val="en-US" w:eastAsia="zh-CN"/>
              </w:rPr>
              <w:t>9</w:t>
            </w:r>
            <w:r>
              <w:rPr>
                <w:rFonts w:hint="eastAsia"/>
                <w:b/>
                <w:color w:val="000000" w:themeColor="text1"/>
                <w:sz w:val="20"/>
                <w:szCs w:val="20"/>
                <w:highlight w:val="none"/>
              </w:rPr>
              <w:t xml:space="preserve">. 应急准备与相应活动的演练及对预案可行性的评价(当有规定时) </w:t>
            </w:r>
          </w:p>
          <w:p>
            <w:pPr>
              <w:spacing w:line="240" w:lineRule="exact"/>
              <w:ind w:firstLine="420" w:firstLineChars="200"/>
              <w:rPr>
                <w:rFonts w:cs="Times New Roman" w:asciiTheme="minorEastAsia" w:hAnsiTheme="minorEastAsia" w:eastAsiaTheme="minorEastAsia"/>
                <w:b/>
                <w:color w:val="000000" w:themeColor="text1"/>
                <w:spacing w:val="-4"/>
                <w:kern w:val="2"/>
                <w:sz w:val="20"/>
                <w:szCs w:val="20"/>
                <w:highlight w:val="none"/>
                <w:lang w:val="en-US" w:eastAsia="zh-CN" w:bidi="ar-SA"/>
              </w:rPr>
            </w:pPr>
            <w:r>
              <w:rPr>
                <w:rFonts w:hint="eastAsia" w:asciiTheme="minorEastAsia" w:hAnsiTheme="minorEastAsia" w:eastAsiaTheme="minorEastAsia"/>
                <w:bCs/>
                <w:iCs/>
                <w:highlight w:val="none"/>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lang w:val="en-US" w:eastAsia="zh-CN"/>
              </w:rPr>
              <w:t>10.</w:t>
            </w:r>
            <w:r>
              <w:rPr>
                <w:rFonts w:hint="eastAsia"/>
                <w:b/>
                <w:color w:val="000000" w:themeColor="text1"/>
                <w:sz w:val="20"/>
                <w:szCs w:val="20"/>
                <w:highlight w:val="none"/>
              </w:rPr>
              <w:t xml:space="preserve"> 对特种设备的维护; </w:t>
            </w:r>
            <w:r>
              <w:rPr>
                <w:rFonts w:hint="eastAsia"/>
                <w:b/>
                <w:sz w:val="20"/>
                <w:szCs w:val="20"/>
                <w:highlight w:val="none"/>
              </w:rPr>
              <w:t>（适用时）</w:t>
            </w:r>
          </w:p>
          <w:p>
            <w:pPr>
              <w:spacing w:line="240" w:lineRule="exact"/>
              <w:rPr>
                <w:rFonts w:hint="default" w:ascii="Times New Roman" w:hAnsi="Times New Roman" w:eastAsia="宋体" w:cs="Times New Roman"/>
                <w:b/>
                <w:color w:val="000000" w:themeColor="text1"/>
                <w:kern w:val="2"/>
                <w:sz w:val="20"/>
                <w:szCs w:val="20"/>
                <w:highlight w:val="none"/>
                <w:lang w:val="en-US" w:eastAsia="zh-CN" w:bidi="ar-SA"/>
              </w:rPr>
            </w:pPr>
            <w:r>
              <w:rPr>
                <w:rFonts w:hint="eastAsia" w:cs="Times New Roman" w:asciiTheme="minorEastAsia" w:hAnsiTheme="minorEastAsia" w:eastAsiaTheme="minorEastAsia"/>
                <w:bCs/>
                <w:iCs/>
                <w:highlight w:val="none"/>
                <w:lang w:val="en-US" w:eastAsia="zh-CN"/>
              </w:rPr>
              <w:t>提供特种设备维修保养记录及年检报告，见附件。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sz w:val="20"/>
                <w:szCs w:val="20"/>
                <w:highlight w:val="none"/>
              </w:rPr>
            </w:pPr>
            <w:r>
              <w:rPr>
                <w:rFonts w:hint="eastAsia"/>
                <w:b/>
                <w:sz w:val="20"/>
                <w:szCs w:val="20"/>
                <w:highlight w:val="none"/>
              </w:rPr>
              <w:t>1</w:t>
            </w:r>
            <w:r>
              <w:rPr>
                <w:rFonts w:hint="eastAsia"/>
                <w:b/>
                <w:sz w:val="20"/>
                <w:szCs w:val="20"/>
                <w:highlight w:val="none"/>
                <w:lang w:val="en-US" w:eastAsia="zh-CN"/>
              </w:rPr>
              <w:t>1</w:t>
            </w:r>
            <w:r>
              <w:rPr>
                <w:rFonts w:hint="eastAsia"/>
                <w:b/>
                <w:sz w:val="20"/>
                <w:szCs w:val="20"/>
                <w:highlight w:val="none"/>
              </w:rPr>
              <w:t xml:space="preserve"> .对危险化学品销售、使用、储存、运输处置，规定的执行力度(必要时); （适用时）</w:t>
            </w:r>
          </w:p>
          <w:p>
            <w:pPr>
              <w:spacing w:line="240" w:lineRule="exact"/>
              <w:rPr>
                <w:rFonts w:hint="default" w:ascii="Times New Roman" w:hAnsi="Times New Roman" w:eastAsia="宋体" w:cs="Times New Roman"/>
                <w:kern w:val="2"/>
                <w:sz w:val="20"/>
                <w:szCs w:val="20"/>
                <w:highlight w:val="none"/>
                <w:lang w:val="en-US" w:eastAsia="zh-CN" w:bidi="ar-SA"/>
              </w:rPr>
            </w:pPr>
            <w:r>
              <w:rPr>
                <w:rFonts w:hint="eastAsia"/>
                <w:sz w:val="20"/>
                <w:szCs w:val="20"/>
                <w:highlight w:val="none"/>
              </w:rPr>
              <w:t>危险化学品：</w:t>
            </w:r>
            <w:r>
              <w:rPr>
                <w:rFonts w:hint="eastAsia"/>
                <w:sz w:val="20"/>
                <w:szCs w:val="20"/>
                <w:highlight w:val="none"/>
                <w:lang w:val="en-US" w:eastAsia="zh-CN"/>
              </w:rPr>
              <w:t>提供存放使用记录，并提供备案记录。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sz w:val="20"/>
                <w:szCs w:val="20"/>
                <w:highlight w:val="none"/>
              </w:rPr>
            </w:pPr>
            <w:r>
              <w:rPr>
                <w:rFonts w:hint="eastAsia"/>
                <w:b/>
                <w:sz w:val="20"/>
                <w:szCs w:val="20"/>
                <w:highlight w:val="none"/>
              </w:rPr>
              <w:t>1. .对质量/环境/职业健康安全目标指标进行定期监测/检查情况（适用时）</w:t>
            </w:r>
          </w:p>
          <w:p>
            <w:pPr>
              <w:spacing w:line="240" w:lineRule="exact"/>
              <w:ind w:firstLine="315" w:firstLineChars="150"/>
              <w:rPr>
                <w:rFonts w:ascii="Times New Roman" w:hAnsi="Times New Roman" w:eastAsia="宋体" w:cs="Times New Roman"/>
                <w:b/>
                <w:kern w:val="2"/>
                <w:sz w:val="20"/>
                <w:szCs w:val="20"/>
                <w:highlight w:val="none"/>
                <w:lang w:val="en-US" w:eastAsia="zh-CN" w:bidi="ar-SA"/>
              </w:rPr>
            </w:pPr>
            <w:r>
              <w:rPr>
                <w:rFonts w:hint="eastAsia" w:ascii="宋体" w:hAnsi="宋体" w:cs="宋体"/>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2021年5</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sz w:val="20"/>
                <w:szCs w:val="20"/>
                <w:highlight w:val="none"/>
              </w:rPr>
            </w:pPr>
            <w:r>
              <w:rPr>
                <w:rFonts w:hint="eastAsia"/>
                <w:b/>
                <w:sz w:val="20"/>
                <w:szCs w:val="20"/>
                <w:highlight w:val="none"/>
              </w:rPr>
              <w:t>2.顾客满意</w:t>
            </w:r>
          </w:p>
          <w:p>
            <w:pPr>
              <w:spacing w:line="240" w:lineRule="exact"/>
              <w:ind w:left="105" w:leftChars="50" w:firstLine="301" w:firstLineChars="150"/>
              <w:rPr>
                <w:rFonts w:ascii="Times New Roman" w:hAnsi="Times New Roman" w:eastAsia="宋体" w:cs="Times New Roman"/>
                <w:b/>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420" w:firstLineChars="200"/>
              <w:rPr>
                <w:rFonts w:hint="default" w:ascii="Times New Roman" w:hAnsi="Times New Roman" w:eastAsia="宋体" w:cs="Times New Roman"/>
                <w:b/>
                <w:kern w:val="2"/>
                <w:sz w:val="20"/>
                <w:szCs w:val="20"/>
                <w:highlight w:val="none"/>
                <w:lang w:val="en-US" w:eastAsia="zh-CN" w:bidi="ar-SA"/>
              </w:rPr>
            </w:pPr>
            <w:r>
              <w:rPr>
                <w:rFonts w:hint="eastAsia" w:ascii="宋体" w:hAnsi="宋体" w:cs="宋体"/>
                <w:szCs w:val="21"/>
                <w:highlight w:val="none"/>
              </w:rPr>
              <w:t>建立有《内部审核控制程序》，规定了内审频次一年一次，内审时间：</w:t>
            </w:r>
            <w:r>
              <w:rPr>
                <w:rFonts w:hint="eastAsia" w:ascii="宋体" w:hAnsi="宋体"/>
                <w:szCs w:val="21"/>
                <w:highlight w:val="none"/>
                <w:lang w:val="en-US" w:eastAsia="zh-CN"/>
              </w:rPr>
              <w:t>2021年6月1日至2日</w:t>
            </w:r>
            <w:r>
              <w:rPr>
                <w:rFonts w:hint="eastAsia" w:ascii="宋体" w:hAnsi="宋体" w:cs="宋体"/>
                <w:szCs w:val="21"/>
                <w:highlight w:val="none"/>
              </w:rPr>
              <w:t>，拟定了审核实施表，明确了内审范围，内审人员经培训合格上岗，能力满足要求，未出现审核本部门情况，内审不符合项</w:t>
            </w:r>
            <w:r>
              <w:rPr>
                <w:rFonts w:hint="eastAsia" w:ascii="宋体" w:hAnsi="宋体" w:cs="宋体"/>
                <w:szCs w:val="21"/>
                <w:highlight w:val="none"/>
                <w:lang w:val="en-US" w:eastAsia="zh-CN"/>
              </w:rPr>
              <w:t>1</w:t>
            </w:r>
            <w:r>
              <w:rPr>
                <w:rFonts w:hint="eastAsia" w:ascii="宋体" w:hAnsi="宋体" w:cs="宋体"/>
                <w:szCs w:val="21"/>
                <w:highlight w:val="none"/>
              </w:rPr>
              <w:t>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管理评审频次为一年一次、本次管理评审于</w:t>
            </w:r>
            <w:r>
              <w:rPr>
                <w:rFonts w:hint="eastAsia" w:ascii="宋体" w:hAnsi="宋体"/>
                <w:szCs w:val="21"/>
                <w:highlight w:val="none"/>
                <w:lang w:eastAsia="zh-CN"/>
              </w:rPr>
              <w:t>202</w:t>
            </w:r>
            <w:r>
              <w:rPr>
                <w:rFonts w:hint="eastAsia" w:ascii="宋体" w:hAnsi="宋体"/>
                <w:szCs w:val="21"/>
                <w:highlight w:val="none"/>
                <w:lang w:val="en-US" w:eastAsia="zh-CN"/>
              </w:rPr>
              <w:t>1</w:t>
            </w:r>
            <w:r>
              <w:rPr>
                <w:rFonts w:hint="eastAsia" w:ascii="宋体" w:hAnsi="宋体"/>
                <w:szCs w:val="21"/>
                <w:highlight w:val="none"/>
                <w:lang w:eastAsia="zh-CN"/>
              </w:rPr>
              <w:t>年</w:t>
            </w:r>
            <w:r>
              <w:rPr>
                <w:rFonts w:hint="eastAsia" w:ascii="宋体" w:hAnsi="宋体"/>
                <w:szCs w:val="21"/>
                <w:highlight w:val="none"/>
                <w:lang w:val="en-US" w:eastAsia="zh-CN"/>
              </w:rPr>
              <w:t>6</w:t>
            </w:r>
            <w:r>
              <w:rPr>
                <w:rFonts w:hint="eastAsia" w:ascii="宋体" w:hAnsi="宋体"/>
                <w:szCs w:val="21"/>
                <w:highlight w:val="none"/>
                <w:lang w:eastAsia="zh-CN"/>
              </w:rPr>
              <w:t>月</w:t>
            </w:r>
            <w:r>
              <w:rPr>
                <w:rFonts w:hint="eastAsia" w:ascii="宋体" w:hAnsi="宋体"/>
                <w:szCs w:val="21"/>
                <w:highlight w:val="none"/>
                <w:lang w:val="en-US" w:eastAsia="zh-CN"/>
              </w:rPr>
              <w:t>1</w:t>
            </w:r>
            <w:r>
              <w:rPr>
                <w:rFonts w:hint="eastAsia" w:ascii="宋体" w:hAnsi="宋体"/>
                <w:szCs w:val="21"/>
                <w:highlight w:val="none"/>
                <w:lang w:eastAsia="zh-CN"/>
              </w:rPr>
              <w:t>5日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rFonts w:hint="eastAsia" w:ascii="Times New Roman" w:hAnsi="Times New Roman" w:eastAsia="宋体" w:cs="Times New Roman"/>
                <w:kern w:val="2"/>
                <w:sz w:val="20"/>
                <w:szCs w:val="20"/>
                <w:highlight w:val="none"/>
                <w:lang w:val="en-US" w:eastAsia="zh-CN" w:bidi="ar-SA"/>
              </w:rPr>
            </w:pPr>
            <w:r>
              <w:rPr>
                <w:rFonts w:hint="eastAsia"/>
                <w:sz w:val="20"/>
                <w:szCs w:val="20"/>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default" w:ascii="Times New Roman" w:hAnsi="Times New Roman" w:eastAsia="宋体" w:cs="Times New Roman"/>
                <w:b/>
                <w:color w:val="000000" w:themeColor="text1"/>
                <w:kern w:val="2"/>
                <w:sz w:val="20"/>
                <w:szCs w:val="20"/>
                <w:highlight w:val="none"/>
                <w:lang w:val="en-US" w:eastAsia="zh-CN" w:bidi="ar-SA"/>
              </w:rPr>
            </w:pPr>
            <w:r>
              <w:rPr>
                <w:rFonts w:hint="eastAsia"/>
                <w:b w:val="0"/>
                <w:bCs/>
                <w:color w:val="000000" w:themeColor="text1"/>
                <w:sz w:val="20"/>
                <w:szCs w:val="20"/>
                <w:highlight w:val="none"/>
                <w:lang w:val="en-US" w:eastAsia="zh-CN"/>
              </w:rPr>
              <w:t>提供环评报告及验收报告、环境监测报告，详见附件</w:t>
            </w: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widowControl/>
              <w:spacing w:line="240" w:lineRule="exact"/>
              <w:rPr>
                <w:b/>
                <w:color w:val="000000" w:themeColor="text1"/>
                <w:sz w:val="20"/>
                <w:szCs w:val="20"/>
                <w:highlight w:val="none"/>
              </w:rPr>
            </w:pPr>
            <w:r>
              <w:rPr>
                <w:rFonts w:hint="eastAsia"/>
                <w:b/>
                <w:color w:val="000000" w:themeColor="text1"/>
                <w:sz w:val="20"/>
                <w:szCs w:val="20"/>
                <w:highlight w:val="none"/>
              </w:rPr>
              <w:t>7. 其他能够标明组织绩效、信誉的证据/信息：</w:t>
            </w:r>
          </w:p>
          <w:p>
            <w:pPr>
              <w:widowControl/>
              <w:spacing w:line="240" w:lineRule="exact"/>
              <w:rPr>
                <w:rFonts w:hint="default" w:ascii="Times New Roman" w:hAnsi="Times New Roman" w:eastAsia="宋体" w:cs="Times New Roman"/>
                <w:b/>
                <w:kern w:val="2"/>
                <w:sz w:val="20"/>
                <w:szCs w:val="20"/>
                <w:highlight w:val="none"/>
                <w:lang w:val="en-US" w:eastAsia="zh-CN" w:bidi="ar-SA"/>
              </w:rPr>
            </w:pPr>
            <w:r>
              <w:rPr>
                <w:rFonts w:hint="eastAsia"/>
                <w:b/>
                <w:sz w:val="20"/>
                <w:szCs w:val="20"/>
                <w:highlight w:val="none"/>
                <w:lang w:val="en-US" w:eastAsia="zh-CN"/>
              </w:rPr>
              <w:t>提供药品GMP证书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rFonts w:ascii="Times New Roman" w:hAnsi="Times New Roman" w:eastAsia="宋体" w:cs="Times New Roman"/>
                <w:b/>
                <w:color w:val="000000" w:themeColor="text1"/>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rFonts w:ascii="Times New Roman" w:hAnsi="Times New Roman" w:eastAsia="宋体" w:cs="Times New Roman"/>
                <w:b/>
                <w:color w:val="000000" w:themeColor="text1"/>
                <w:kern w:val="2"/>
                <w:sz w:val="20"/>
                <w:szCs w:val="20"/>
                <w:highlight w:val="none"/>
                <w:lang w:val="en-US" w:eastAsia="zh-CN" w:bidi="ar-SA"/>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3"/>
              </w:numPr>
              <w:spacing w:line="240" w:lineRule="exact"/>
              <w:rPr>
                <w:rFonts w:hint="eastAsia"/>
                <w:highlight w:val="none"/>
              </w:rPr>
            </w:pPr>
            <w:r>
              <w:rPr>
                <w:rFonts w:hint="eastAsia"/>
                <w:highlight w:val="none"/>
              </w:rPr>
              <w:t>一阶段提出问题的整改情况?</w:t>
            </w:r>
          </w:p>
          <w:p>
            <w:pPr>
              <w:pStyle w:val="3"/>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经验证，一阶段问题未出现类视情况。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rFonts w:ascii="Times New Roman" w:hAnsi="Times New Roman" w:eastAsia="宋体" w:cs="Times New Roman"/>
                <w:b/>
                <w:color w:val="000000" w:themeColor="text1"/>
                <w:kern w:val="2"/>
                <w:sz w:val="20"/>
                <w:szCs w:val="20"/>
                <w:highlight w:val="none"/>
                <w:lang w:val="en-US" w:eastAsia="zh-CN" w:bidi="ar-SA"/>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rFonts w:ascii="Times New Roman" w:hAnsi="Times New Roman" w:eastAsia="宋体" w:cs="Times New Roman"/>
                <w:b/>
                <w:color w:val="000000" w:themeColor="text1"/>
                <w:kern w:val="2"/>
                <w:sz w:val="21"/>
                <w:szCs w:val="21"/>
                <w:highlight w:val="none"/>
                <w:lang w:val="en-US" w:eastAsia="zh-CN" w:bidi="ar-SA"/>
              </w:rPr>
            </w:pPr>
            <w:r>
              <w:rPr>
                <w:rFonts w:hint="eastAsia"/>
                <w:b/>
                <w:color w:val="000000" w:themeColor="text1"/>
                <w:szCs w:val="21"/>
                <w:highlight w:val="none"/>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val="en-US" w:eastAsia="zh-CN"/>
        </w:rPr>
        <w:t>生产</w:t>
      </w:r>
      <w:r>
        <w:rPr>
          <w:rFonts w:hint="eastAsia"/>
          <w:b/>
          <w:color w:val="000000" w:themeColor="text1"/>
        </w:rPr>
        <w:t>部门</w:t>
      </w:r>
      <w:r>
        <w:rPr>
          <w:rFonts w:hint="eastAsia"/>
          <w:b/>
          <w:color w:val="000000" w:themeColor="text1"/>
          <w:lang w:val="en-US" w:eastAsia="zh-CN"/>
        </w:rPr>
        <w:t>8.1</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hint="eastAsia" w:ascii="宋体" w:hAnsi="宋体"/>
                <w:szCs w:val="21"/>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资质范围内小容量注射剂的生产</w:t>
            </w:r>
          </w:p>
          <w:p>
            <w:pPr>
              <w:pStyle w:val="2"/>
              <w:rPr>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sz w:val="26"/>
          <w:szCs w:val="26"/>
        </w:rPr>
      </w:pPr>
      <w:r>
        <w:rPr>
          <w:rFonts w:hint="eastAsia"/>
        </w:rPr>
        <w:drawing>
          <wp:anchor distT="0" distB="0" distL="114300" distR="114300" simplePos="0" relativeHeight="251662336" behindDoc="0" locked="0" layoutInCell="1" allowOverlap="1">
            <wp:simplePos x="0" y="0"/>
            <wp:positionH relativeFrom="column">
              <wp:posOffset>1622425</wp:posOffset>
            </wp:positionH>
            <wp:positionV relativeFrom="paragraph">
              <wp:posOffset>1905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sz w:val="22"/>
          <w:szCs w:val="22"/>
        </w:rPr>
        <w:drawing>
          <wp:anchor distT="0" distB="0" distL="114300" distR="114300" simplePos="0" relativeHeight="251663360" behindDoc="0" locked="0" layoutInCell="1" allowOverlap="1">
            <wp:simplePos x="0" y="0"/>
            <wp:positionH relativeFrom="column">
              <wp:posOffset>1562100</wp:posOffset>
            </wp:positionH>
            <wp:positionV relativeFrom="paragraph">
              <wp:posOffset>78105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rPr>
        <w:drawing>
          <wp:anchor distT="0" distB="0" distL="114300" distR="114300" simplePos="0" relativeHeight="251664384" behindDoc="0" locked="0" layoutInCell="1" allowOverlap="1">
            <wp:simplePos x="0" y="0"/>
            <wp:positionH relativeFrom="column">
              <wp:posOffset>669925</wp:posOffset>
            </wp:positionH>
            <wp:positionV relativeFrom="paragraph">
              <wp:posOffset>250825</wp:posOffset>
            </wp:positionV>
            <wp:extent cx="544830" cy="248920"/>
            <wp:effectExtent l="0" t="0" r="3810" b="10160"/>
            <wp:wrapNone/>
            <wp:docPr id="3" name="图片 3"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7ac17c702f787ebcb7b5ad453f94b0"/>
                    <pic:cNvPicPr>
                      <a:picLocks noChangeAspect="1"/>
                    </pic:cNvPicPr>
                  </pic:nvPicPr>
                  <pic:blipFill>
                    <a:blip r:embed="rId6" cstate="print"/>
                    <a:stretch>
                      <a:fillRect/>
                    </a:stretch>
                  </pic:blipFill>
                  <pic:spPr>
                    <a:xfrm>
                      <a:off x="0" y="0"/>
                      <a:ext cx="544830" cy="248920"/>
                    </a:xfrm>
                    <a:prstGeom prst="rect">
                      <a:avLst/>
                    </a:prstGeom>
                  </pic:spPr>
                </pic:pic>
              </a:graphicData>
            </a:graphic>
          </wp:anchor>
        </w:drawing>
      </w:r>
      <w:r>
        <w:rPr>
          <w:rFonts w:hint="eastAsia"/>
          <w:b/>
          <w:color w:val="000000" w:themeColor="text1"/>
          <w:szCs w:val="21"/>
        </w:rPr>
        <w:t xml:space="preserve">组长签字:                             </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2291D"/>
    <w:multiLevelType w:val="singleLevel"/>
    <w:tmpl w:val="0C52291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5CF56C4"/>
    <w:rsid w:val="46442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2021-06-26T05:53:20Z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FDBF5473A30D42EFA0B4C251900C45C7</vt:lpwstr>
  </property>
</Properties>
</file>