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01/02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D0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2021-06-26T06:52:32Z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07717AFDF20143B0952B7931C04EAD37</vt:lpwstr>
  </property>
</Properties>
</file>