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铜陵市灵芝电器有限公司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0129-2020-Q-2021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2021.06.30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485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2021-06-29T08:20:56Z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83E71AC3F3704C789582127C9D9D67B4</vt:lpwstr>
  </property>
</Properties>
</file>