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24"/>
          <w:szCs w:val="24"/>
        </w:rPr>
      </w:pPr>
      <w:r>
        <w:rPr>
          <w:rFonts w:hint="eastAsia" w:ascii="隶书" w:hAnsi="宋体" w:eastAsia="隶书"/>
          <w:bCs/>
          <w:color w:val="000000"/>
          <w:sz w:val="24"/>
          <w:szCs w:val="24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质管部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马禄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审核员：张磊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审核时间：20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5.3/</w:t>
            </w:r>
            <w:r>
              <w:rPr>
                <w:rFonts w:hint="eastAsia"/>
                <w:sz w:val="24"/>
                <w:szCs w:val="24"/>
              </w:rPr>
              <w:t>6.2/7.4/7.1.5/8.6/8.7/10.2</w:t>
            </w:r>
          </w:p>
        </w:tc>
        <w:tc>
          <w:tcPr>
            <w:tcW w:w="158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160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组织的岗位职责和权限</w:t>
            </w:r>
          </w:p>
        </w:tc>
        <w:tc>
          <w:tcPr>
            <w:tcW w:w="960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Q5.3</w:t>
            </w:r>
          </w:p>
        </w:tc>
        <w:tc>
          <w:tcPr>
            <w:tcW w:w="10004" w:type="dxa"/>
          </w:tcPr>
          <w:p>
            <w:pPr>
              <w:autoSpaceDE w:val="0"/>
              <w:autoSpaceDN w:val="0"/>
              <w:spacing w:line="340" w:lineRule="exac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贯彻、执行公司的质量方针和质量目标并作为本部门的质量工作准则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做好产品标识，严格区分合格品和不合格品，保证产品的可追溯性；负责检验的归口管理，按照标准、产品规范和工艺，对原材料、外购件、半成品到成品整个加工全过程的质量检验工作；负责不合格产品的归口管理，对不符合要求的输出进行识别和控制；负责本公司所有监视和测量设备的校准，组织质量管理、计量管质量检验标准等控制程序的拟订、检查、监督、控制及执行。</w:t>
            </w:r>
          </w:p>
          <w:p>
            <w:pPr>
              <w:autoSpaceDE w:val="0"/>
              <w:autoSpaceDN w:val="0"/>
              <w:spacing w:line="340" w:lineRule="exac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现场确认企业实际情况与远程审核一致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0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质量目标及其实现的策划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0004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jc w:val="left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查：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2021.1.1-2021.6.30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时间段《质量目标完成情况》1、产品出厂检验率100%，达标；</w:t>
            </w:r>
          </w:p>
          <w:p>
            <w:pPr>
              <w:pStyle w:val="13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2、主要材料入库检验率100%，达标，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部门目标已完成.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沟通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7.4</w:t>
            </w:r>
          </w:p>
        </w:tc>
        <w:tc>
          <w:tcPr>
            <w:tcW w:w="10004" w:type="dxa"/>
            <w:vAlign w:val="top"/>
          </w:tcPr>
          <w:p>
            <w:pPr>
              <w:snapToGrid w:val="0"/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外部信息包括： </w:t>
            </w:r>
          </w:p>
          <w:p>
            <w:pPr>
              <w:snapToGrid w:val="0"/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质量技术监督局、商检局、公证处、认证机构等监测或检查的结果及反馈的信息； </w:t>
            </w:r>
          </w:p>
          <w:p>
            <w:pPr>
              <w:snapToGrid w:val="0"/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政策法规标准类信息，如质量法律、法规、条例、产品标准等； </w:t>
            </w:r>
          </w:p>
          <w:p>
            <w:pPr>
              <w:snapToGrid w:val="0"/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相关方（顾客、供方、计量单位、媒体等）反馈的信息及其投诉等； </w:t>
            </w:r>
          </w:p>
          <w:p>
            <w:pPr>
              <w:snapToGrid w:val="0"/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其他外部信息，如各部门直接从外部获取的有质量改进技术，质量管理等方面的信息。</w:t>
            </w:r>
          </w:p>
          <w:p>
            <w:pPr>
              <w:snapToGrid w:val="0"/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内部信息包括： </w:t>
            </w:r>
          </w:p>
          <w:p>
            <w:pPr>
              <w:snapToGrid w:val="0"/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a)</w:t>
            </w:r>
            <w:r>
              <w:rPr>
                <w:rFonts w:hint="eastAsia" w:ascii="宋体" w:hAnsi="宋体"/>
                <w:sz w:val="24"/>
                <w:szCs w:val="24"/>
              </w:rPr>
              <w:t>正常信息，如质量方针（目标）及完成情况、测量和监控记录、内部审核与质量评审报告以及体系正常运行时的其他记录等； </w:t>
            </w:r>
          </w:p>
          <w:p>
            <w:pPr>
              <w:snapToGrid w:val="0"/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b)</w:t>
            </w:r>
            <w:r>
              <w:rPr>
                <w:rFonts w:hint="eastAsia" w:ascii="宋体" w:hAnsi="宋体"/>
                <w:sz w:val="24"/>
                <w:szCs w:val="24"/>
              </w:rPr>
              <w:t>（潜在）不符合信息，如体系内部审核的不合格报告，纠正和预防措施处理单等； </w:t>
            </w:r>
          </w:p>
          <w:p>
            <w:pPr>
              <w:snapToGrid w:val="0"/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c)</w:t>
            </w:r>
            <w:r>
              <w:rPr>
                <w:rFonts w:hint="eastAsia" w:ascii="宋体" w:hAnsi="宋体"/>
                <w:sz w:val="24"/>
                <w:szCs w:val="24"/>
              </w:rPr>
              <w:t>紧急信息，如出现重大质量事故等情况下的信息和记录； </w:t>
            </w:r>
          </w:p>
          <w:p>
            <w:pPr>
              <w:snapToGrid w:val="0"/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d)</w:t>
            </w:r>
            <w:r>
              <w:rPr>
                <w:rFonts w:hint="eastAsia" w:ascii="宋体" w:hAnsi="宋体"/>
                <w:sz w:val="24"/>
                <w:szCs w:val="24"/>
              </w:rPr>
              <w:t>其他内部信息（如员工的建议等）；</w:t>
            </w:r>
          </w:p>
          <w:p>
            <w:pPr>
              <w:snapToGrid w:val="0"/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内部沟通主要有：文件、记录、会议、培训、张贴告示以及口头交流、电话、微信、QQ等。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生产加现场</w:t>
            </w:r>
            <w:r>
              <w:rPr>
                <w:rFonts w:hint="eastAsia" w:ascii="宋体" w:hAnsi="宋体"/>
                <w:sz w:val="24"/>
                <w:szCs w:val="24"/>
              </w:rPr>
              <w:t>相对集中，沟通充分有效，未发生因沟通不畅而影响质量管理体系运行和工作情况。</w:t>
            </w:r>
          </w:p>
          <w:p>
            <w:pPr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信息可采取书面资料、质量记录、公告栏、内部刊物、讨论交流、电子媒体、声像设备、通讯、互联网等沟通的工具或方式予以传递。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监视和测量资源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7.1.5</w:t>
            </w:r>
          </w:p>
        </w:tc>
        <w:tc>
          <w:tcPr>
            <w:tcW w:w="10004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sz w:val="24"/>
                <w:szCs w:val="24"/>
              </w:rPr>
              <w:t>编制了《监视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/>
                <w:sz w:val="24"/>
                <w:szCs w:val="24"/>
              </w:rPr>
              <w:t>测量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资源</w:t>
            </w:r>
            <w:r>
              <w:rPr>
                <w:rFonts w:hint="eastAsia" w:ascii="宋体" w:hAnsi="宋体"/>
                <w:sz w:val="24"/>
                <w:szCs w:val="24"/>
              </w:rPr>
              <w:t>控制程序》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、《</w:t>
            </w: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产品检验规程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等等。</w:t>
            </w:r>
          </w:p>
          <w:p>
            <w:pPr>
              <w:snapToGrid w:val="0"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检验设备管理制度的规定，规定了相关的采购、流转、检定、保管的要求，规定明确。配备了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/>
                <w:sz w:val="24"/>
                <w:szCs w:val="24"/>
              </w:rPr>
              <w:t>生产所需的监测装置，基本满足认证产品的监视和测量需求。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提供《计量器具管理台帐》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：外径千分尺，游标卡尺，万用表，测温枪，内径千分尺，电阻测试仪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等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查游标卡尺，证书编号：KSZS2190394D002，检测日期：2021年6月30号，检测机构：江苏世通仪器检测服务有限公司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万用表，证书编号：KSZS2190394D007，检测日期：2021年6月30号，检测机构：江苏世通仪器检测服务有限公司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外径千分尺，证书编号：KSZS2190394D001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，检测日期：2021年6月30号，检测机构：江苏世通仪器检测服务有限公司</w:t>
            </w:r>
          </w:p>
          <w:p>
            <w:pPr>
              <w:snapToGrid w:val="0"/>
              <w:spacing w:line="360" w:lineRule="exac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sz w:val="24"/>
                <w:szCs w:val="24"/>
              </w:rPr>
              <w:t>现有能力，符合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sz w:val="24"/>
                <w:szCs w:val="24"/>
              </w:rPr>
              <w:t>对计量器具周检管理规定。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sz w:val="24"/>
                <w:szCs w:val="24"/>
              </w:rPr>
              <w:t>计量器具使用及控制由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质管部</w:t>
            </w:r>
            <w:r>
              <w:rPr>
                <w:rFonts w:hint="eastAsia" w:ascii="宋体" w:hAnsi="宋体"/>
                <w:sz w:val="24"/>
                <w:szCs w:val="24"/>
              </w:rPr>
              <w:t>门组织实施，相关监测装置均已加贴计量合格标识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</w:t>
            </w: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产品和服务的放行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8.6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hint="default" w:ascii="宋体" w:hAnsi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公司根据订单的要求进行物料采购，</w:t>
            </w:r>
            <w:r>
              <w:rPr>
                <w:rFonts w:hint="eastAsia" w:ascii="宋体" w:hAnsi="宋体"/>
                <w:sz w:val="24"/>
                <w:szCs w:val="24"/>
              </w:rPr>
              <w:t>并编制有质量检验规程,包括原材料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过程及成品的检验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规程,查：《电焊机安全操作规程》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、《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等离子切割机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安全操作规程》、《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折弯机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安全操作规程》、《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陶瓷过滤机安装流程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》；《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超声波电源制作规程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》；《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超声波振盒制作规程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》，《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产品检验规程》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针对原材料配件编辑了：</w:t>
            </w: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《采购合同》进行要求</w:t>
            </w: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查原材料进货检验记录：</w:t>
            </w:r>
          </w:p>
          <w:p>
            <w:pPr>
              <w:spacing w:line="360" w:lineRule="exact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抽</w:t>
            </w:r>
            <w:r>
              <w:rPr>
                <w:rFonts w:hint="eastAsia" w:ascii="宋体" w:hAnsi="宋体"/>
                <w:sz w:val="24"/>
                <w:szCs w:val="24"/>
              </w:rPr>
              <w:t>有材料名称：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压力变送器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送检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日期：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2021.6.24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供货单位：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安徽络嵌控制系统有限公司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供货数量：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40只，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检验项目：外观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型号规格、试压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，规格型号是否与要求一致，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测量结果：合格；检验员：</w:t>
            </w:r>
            <w:r>
              <w:rPr>
                <w:rFonts w:hint="eastAsia"/>
                <w:sz w:val="24"/>
                <w:lang w:val="en-US" w:eastAsia="zh-CN"/>
              </w:rPr>
              <w:t>朱毕辉；验收人：马芳</w:t>
            </w:r>
          </w:p>
          <w:p>
            <w:pPr>
              <w:spacing w:line="360" w:lineRule="exact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抽</w:t>
            </w:r>
            <w:r>
              <w:rPr>
                <w:rFonts w:hint="eastAsia" w:ascii="宋体" w:hAnsi="宋体"/>
                <w:sz w:val="24"/>
                <w:szCs w:val="24"/>
              </w:rPr>
              <w:t>有材料名称：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气动球阀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送检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日期：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2021.4.28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供货单位：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上海耐特阀门厂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供货数量：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10件，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检验项目：外观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直径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，规格型号是否与要求一致，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测量结果：合格；检验员：</w:t>
            </w:r>
            <w:r>
              <w:rPr>
                <w:rFonts w:hint="eastAsia"/>
                <w:sz w:val="24"/>
                <w:lang w:val="en-US" w:eastAsia="zh-CN"/>
              </w:rPr>
              <w:t>朱毕辉；验收人：马芳</w:t>
            </w:r>
          </w:p>
          <w:p>
            <w:pPr>
              <w:spacing w:line="360" w:lineRule="exact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抽</w:t>
            </w:r>
            <w:r>
              <w:rPr>
                <w:rFonts w:hint="eastAsia" w:ascii="宋体" w:hAnsi="宋体"/>
                <w:sz w:val="24"/>
                <w:szCs w:val="24"/>
              </w:rPr>
              <w:t>有材料名称：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304不锈钢接头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送检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日期：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2021.5.31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供货单位：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天长市丰派仪表有限公司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供货数量：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100只，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检验项目：外观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，规格型号是否与要求一致，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测量结果：合格；检验员：</w:t>
            </w:r>
            <w:r>
              <w:rPr>
                <w:rFonts w:hint="eastAsia"/>
                <w:sz w:val="24"/>
                <w:lang w:val="en-US" w:eastAsia="zh-CN"/>
              </w:rPr>
              <w:t>朱毕辉；验收人：马芳</w:t>
            </w:r>
          </w:p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提供了生产过程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监控记录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</w:t>
            </w:r>
          </w:p>
          <w:p>
            <w:pPr>
              <w:rPr>
                <w:rFonts w:hint="default" w:ascii="宋体" w:hAnsi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FF000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96135" cy="3081020"/>
                  <wp:effectExtent l="0" t="0" r="12065" b="5080"/>
                  <wp:docPr id="2" name="图片 2" descr="0f608fc1f2246d1fe2ad8fa8685d3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f608fc1f2246d1fe2ad8fa8685d3d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135" cy="308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hAnsi="宋体"/>
                <w:color w:val="FF000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26920" cy="2980055"/>
                  <wp:effectExtent l="0" t="0" r="5080" b="4445"/>
                  <wp:docPr id="3" name="图片 3" descr="a2a79e8944628b8c53389b7ccd95d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2a79e8944628b8c53389b7ccd95df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20" cy="298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hAnsi="宋体"/>
                <w:color w:val="FF000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24380" cy="2975610"/>
                  <wp:effectExtent l="0" t="0" r="7620" b="8890"/>
                  <wp:docPr id="4" name="图片 4" descr="6b5b2f6c2b3fb607277dd1d6c8b7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5b2f6c2b3fb607277dd1d6c8b797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80" cy="297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提供了成品出厂检验合格证，内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容有：产品名称、数量、检验数量、型号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160" w:type="dxa"/>
            <w:vAlign w:val="top"/>
          </w:tcPr>
          <w:p>
            <w:pPr>
              <w:spacing w:before="120"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不合格输出的控制</w:t>
            </w:r>
          </w:p>
          <w:p>
            <w:pPr>
              <w:spacing w:before="120"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不合格和纠正措施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8.7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10.2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公司编制了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不合格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输出控制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程序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改进控制程序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规定对不合格品的处置方法和要求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对纠正预防措施的处理做了要求，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提供不合格品报告单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和纠正措施报告单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查采购原辅料：2021年5月25日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不合格品报告单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产品：西门子模块6ES7214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；不合格描述：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端子处盖板断裂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。不合格原因：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运输过程碰撞。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不合格品处理：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退换，厂家发来新板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检验人：</w:t>
            </w:r>
            <w:r>
              <w:rPr>
                <w:rFonts w:hint="eastAsia"/>
                <w:sz w:val="24"/>
                <w:lang w:val="en-US" w:eastAsia="zh-CN"/>
              </w:rPr>
              <w:t>朱毕辉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查2021年5月27日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不合格品报告单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超声波振盒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；不合格描述：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密封性不佳，实验有气泡冒出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。不合格原因：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焊接过程有漏焊。 不合格品处理：重现返工。处理结果：已完成整改，并符合图纸要求。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纠正预防措施：加强员工技能培训，强化员工质量保障意识。检验人：</w:t>
            </w:r>
            <w:r>
              <w:rPr>
                <w:rFonts w:hint="eastAsia"/>
                <w:sz w:val="24"/>
                <w:lang w:val="en-US" w:eastAsia="zh-CN"/>
              </w:rPr>
              <w:t>朱毕辉</w:t>
            </w:r>
          </w:p>
          <w:p>
            <w:pP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</w:t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ptab w:relativeTo="margin" w:alignment="center" w:leader="none"/>
      </w:r>
    </w:p>
    <w:p>
      <w:pPr>
        <w:pStyle w:val="4"/>
        <w:rPr>
          <w:sz w:val="24"/>
          <w:szCs w:val="24"/>
        </w:rPr>
      </w:pPr>
      <w:r>
        <w:rPr>
          <w:rFonts w:hint="eastAsia"/>
          <w:sz w:val="24"/>
          <w:szCs w:val="24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_x0000_s4097" o:spid="_x0000_s4097" o:spt="202" type="#_x0000_t202" style="position:absolute;left:0pt;margin-left:554.75pt;margin-top:2.2pt;height:20.2pt;width:172pt;z-index:251660288;mso-width-relative:page;mso-height-relative:page;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">
          <v:path arrowok="t"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05F"/>
    <w:rsid w:val="000237F6"/>
    <w:rsid w:val="0003373A"/>
    <w:rsid w:val="000400E2"/>
    <w:rsid w:val="00062E46"/>
    <w:rsid w:val="000863D9"/>
    <w:rsid w:val="000B7153"/>
    <w:rsid w:val="000E6B21"/>
    <w:rsid w:val="00123A7E"/>
    <w:rsid w:val="00123C8C"/>
    <w:rsid w:val="00141612"/>
    <w:rsid w:val="0014219D"/>
    <w:rsid w:val="00175D5A"/>
    <w:rsid w:val="001A2D7F"/>
    <w:rsid w:val="001A5C7B"/>
    <w:rsid w:val="001F5DFF"/>
    <w:rsid w:val="001F6409"/>
    <w:rsid w:val="002529F8"/>
    <w:rsid w:val="002808F5"/>
    <w:rsid w:val="00292453"/>
    <w:rsid w:val="002939AD"/>
    <w:rsid w:val="002D2A5F"/>
    <w:rsid w:val="002E0970"/>
    <w:rsid w:val="002E740A"/>
    <w:rsid w:val="00314AF6"/>
    <w:rsid w:val="00337922"/>
    <w:rsid w:val="00340867"/>
    <w:rsid w:val="00360647"/>
    <w:rsid w:val="00362681"/>
    <w:rsid w:val="00380837"/>
    <w:rsid w:val="003A198A"/>
    <w:rsid w:val="003B36E0"/>
    <w:rsid w:val="003C763F"/>
    <w:rsid w:val="00410914"/>
    <w:rsid w:val="00424587"/>
    <w:rsid w:val="00427571"/>
    <w:rsid w:val="0043796A"/>
    <w:rsid w:val="004638FB"/>
    <w:rsid w:val="00486E30"/>
    <w:rsid w:val="00496624"/>
    <w:rsid w:val="004C1F72"/>
    <w:rsid w:val="004D18C1"/>
    <w:rsid w:val="004F2843"/>
    <w:rsid w:val="00521B90"/>
    <w:rsid w:val="00536930"/>
    <w:rsid w:val="00564E53"/>
    <w:rsid w:val="00574EB4"/>
    <w:rsid w:val="005B66FF"/>
    <w:rsid w:val="005C2E63"/>
    <w:rsid w:val="005D5659"/>
    <w:rsid w:val="00600C20"/>
    <w:rsid w:val="00603538"/>
    <w:rsid w:val="00644FE2"/>
    <w:rsid w:val="00672C5F"/>
    <w:rsid w:val="0067640C"/>
    <w:rsid w:val="006B49E9"/>
    <w:rsid w:val="006C3B93"/>
    <w:rsid w:val="006C78E5"/>
    <w:rsid w:val="006D474B"/>
    <w:rsid w:val="006E678B"/>
    <w:rsid w:val="006E7FE1"/>
    <w:rsid w:val="006F0615"/>
    <w:rsid w:val="006F0E5F"/>
    <w:rsid w:val="006F2A89"/>
    <w:rsid w:val="007303A3"/>
    <w:rsid w:val="007757F3"/>
    <w:rsid w:val="007C1B48"/>
    <w:rsid w:val="007E27D8"/>
    <w:rsid w:val="007E6AEB"/>
    <w:rsid w:val="00823F32"/>
    <w:rsid w:val="008333B7"/>
    <w:rsid w:val="00866355"/>
    <w:rsid w:val="008944C0"/>
    <w:rsid w:val="0089520F"/>
    <w:rsid w:val="008970E9"/>
    <w:rsid w:val="008973EE"/>
    <w:rsid w:val="008D06AF"/>
    <w:rsid w:val="008E259F"/>
    <w:rsid w:val="008E3715"/>
    <w:rsid w:val="00900FF8"/>
    <w:rsid w:val="009077E2"/>
    <w:rsid w:val="00952238"/>
    <w:rsid w:val="00971600"/>
    <w:rsid w:val="0097547B"/>
    <w:rsid w:val="00982A89"/>
    <w:rsid w:val="009973B4"/>
    <w:rsid w:val="009C28C1"/>
    <w:rsid w:val="009F1064"/>
    <w:rsid w:val="009F7EED"/>
    <w:rsid w:val="00A36847"/>
    <w:rsid w:val="00A47476"/>
    <w:rsid w:val="00A63327"/>
    <w:rsid w:val="00A80636"/>
    <w:rsid w:val="00A86C1A"/>
    <w:rsid w:val="00A9173F"/>
    <w:rsid w:val="00A917CC"/>
    <w:rsid w:val="00AB0D84"/>
    <w:rsid w:val="00AD5CE9"/>
    <w:rsid w:val="00AF0AAB"/>
    <w:rsid w:val="00AF6B52"/>
    <w:rsid w:val="00B22054"/>
    <w:rsid w:val="00B4239E"/>
    <w:rsid w:val="00B503EE"/>
    <w:rsid w:val="00BB2D70"/>
    <w:rsid w:val="00BE791B"/>
    <w:rsid w:val="00BF597E"/>
    <w:rsid w:val="00C10EFB"/>
    <w:rsid w:val="00C34AA4"/>
    <w:rsid w:val="00C42251"/>
    <w:rsid w:val="00C51A36"/>
    <w:rsid w:val="00C54195"/>
    <w:rsid w:val="00C55228"/>
    <w:rsid w:val="00C63768"/>
    <w:rsid w:val="00C67ECB"/>
    <w:rsid w:val="00C87600"/>
    <w:rsid w:val="00C939BD"/>
    <w:rsid w:val="00CC00B2"/>
    <w:rsid w:val="00CE315A"/>
    <w:rsid w:val="00D06F59"/>
    <w:rsid w:val="00D16C5E"/>
    <w:rsid w:val="00D30651"/>
    <w:rsid w:val="00D522E3"/>
    <w:rsid w:val="00D57D33"/>
    <w:rsid w:val="00D6302D"/>
    <w:rsid w:val="00D8388C"/>
    <w:rsid w:val="00D8408F"/>
    <w:rsid w:val="00E050AD"/>
    <w:rsid w:val="00E2582B"/>
    <w:rsid w:val="00E278F7"/>
    <w:rsid w:val="00E6224C"/>
    <w:rsid w:val="00E676AE"/>
    <w:rsid w:val="00EB0164"/>
    <w:rsid w:val="00EB1AF4"/>
    <w:rsid w:val="00EC263E"/>
    <w:rsid w:val="00ED0F62"/>
    <w:rsid w:val="00EF3748"/>
    <w:rsid w:val="00EF55AA"/>
    <w:rsid w:val="00F10800"/>
    <w:rsid w:val="00F131AF"/>
    <w:rsid w:val="00F155A7"/>
    <w:rsid w:val="00F55150"/>
    <w:rsid w:val="00F5570C"/>
    <w:rsid w:val="00F6186D"/>
    <w:rsid w:val="00F65CB6"/>
    <w:rsid w:val="00F75AA8"/>
    <w:rsid w:val="00FB20F9"/>
    <w:rsid w:val="00FE5206"/>
    <w:rsid w:val="00FF0579"/>
    <w:rsid w:val="00FF3AD1"/>
    <w:rsid w:val="04012F07"/>
    <w:rsid w:val="06083502"/>
    <w:rsid w:val="108219C2"/>
    <w:rsid w:val="115A6E35"/>
    <w:rsid w:val="123A2681"/>
    <w:rsid w:val="127228CF"/>
    <w:rsid w:val="161D382D"/>
    <w:rsid w:val="1B1A2C6B"/>
    <w:rsid w:val="1B5C0047"/>
    <w:rsid w:val="21B06512"/>
    <w:rsid w:val="246B3A9A"/>
    <w:rsid w:val="251B54C6"/>
    <w:rsid w:val="2A362739"/>
    <w:rsid w:val="2CD84EA5"/>
    <w:rsid w:val="3C1D2FD6"/>
    <w:rsid w:val="447D7879"/>
    <w:rsid w:val="49BA572A"/>
    <w:rsid w:val="4B2615DB"/>
    <w:rsid w:val="4C995D62"/>
    <w:rsid w:val="4CB26F20"/>
    <w:rsid w:val="563359DC"/>
    <w:rsid w:val="57B90592"/>
    <w:rsid w:val="57FC02AC"/>
    <w:rsid w:val="589221F7"/>
    <w:rsid w:val="5EA12B9A"/>
    <w:rsid w:val="639107F2"/>
    <w:rsid w:val="67447AA6"/>
    <w:rsid w:val="6B6C2667"/>
    <w:rsid w:val="6C0B785B"/>
    <w:rsid w:val="73E72867"/>
    <w:rsid w:val="7C29613C"/>
    <w:rsid w:val="7C3D6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楷体_GB2312"/>
      <w:sz w:val="32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No Spacing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2D9F34-6D72-4547-A675-6B2EF5D0CF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1048</Characters>
  <Lines>8</Lines>
  <Paragraphs>2</Paragraphs>
  <TotalTime>0</TotalTime>
  <ScaleCrop>false</ScaleCrop>
  <LinksUpToDate>false</LinksUpToDate>
  <CharactersWithSpaces>1229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2019-10-19T09:26:00Z</dcterms:created>
  <dc:creator>微软用户</dc:creator>
  <cp:lastModifiedBy>lenovo</cp:lastModifiedBy>
  <dcterms:modified xsi:type="dcterms:W3CDTF">2021-07-10T17:39:33Z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F1312F51A1064E60884A631F641F6032</vt:lpwstr>
  </property>
</Properties>
</file>