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24"/>
        </w:rPr>
      </w:pPr>
      <w:r>
        <w:rPr>
          <w:rFonts w:hint="eastAsia" w:ascii="隶书" w:hAnsi="宋体" w:eastAsia="隶书"/>
          <w:bCs/>
          <w:color w:val="000000"/>
          <w:sz w:val="24"/>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过程与活动、</w:t>
            </w:r>
          </w:p>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抽样计划</w:t>
            </w:r>
          </w:p>
        </w:tc>
        <w:tc>
          <w:tcPr>
            <w:tcW w:w="960" w:type="dxa"/>
            <w:vMerge w:val="restart"/>
            <w:vAlign w:val="center"/>
          </w:tcPr>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涉及</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条款</w:t>
            </w:r>
          </w:p>
        </w:tc>
        <w:tc>
          <w:tcPr>
            <w:tcW w:w="10004" w:type="dxa"/>
            <w:vAlign w:val="center"/>
          </w:tcPr>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受审核部门：</w:t>
            </w:r>
            <w:r>
              <w:rPr>
                <w:rFonts w:hint="eastAsia" w:asciiTheme="minorEastAsia" w:hAnsiTheme="minorEastAsia" w:eastAsiaTheme="minorEastAsia" w:cstheme="minorEastAsia"/>
                <w:color w:val="auto"/>
                <w:sz w:val="24"/>
                <w:szCs w:val="24"/>
                <w:lang w:val="en-US" w:eastAsia="zh-CN"/>
              </w:rPr>
              <w:t>领导层</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lang w:val="en-US" w:eastAsia="zh-CN"/>
              </w:rPr>
              <w:t xml:space="preserve">    主管领导：马连华        陪同人员：温亚宁</w:t>
            </w:r>
            <w:r>
              <w:rPr>
                <w:rFonts w:hint="eastAsia" w:asciiTheme="minorEastAsia" w:hAnsiTheme="minorEastAsia" w:eastAsiaTheme="minorEastAsia" w:cstheme="minorEastAsia"/>
                <w:color w:val="auto"/>
                <w:sz w:val="24"/>
                <w:szCs w:val="24"/>
              </w:rPr>
              <w:t xml:space="preserve"> </w:t>
            </w:r>
          </w:p>
        </w:tc>
        <w:tc>
          <w:tcPr>
            <w:tcW w:w="1585" w:type="dxa"/>
            <w:vMerge w:val="restart"/>
            <w:vAlign w:val="center"/>
          </w:tcPr>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Theme="minorEastAsia" w:hAnsiTheme="minorEastAsia" w:eastAsiaTheme="minorEastAsia" w:cstheme="minorEastAsia"/>
                <w:color w:val="auto"/>
                <w:sz w:val="24"/>
                <w:szCs w:val="24"/>
              </w:rPr>
            </w:pPr>
          </w:p>
        </w:tc>
        <w:tc>
          <w:tcPr>
            <w:tcW w:w="960" w:type="dxa"/>
            <w:vMerge w:val="continue"/>
            <w:vAlign w:val="center"/>
          </w:tcPr>
          <w:p>
            <w:pPr>
              <w:rPr>
                <w:rFonts w:hint="eastAsia" w:asciiTheme="minorEastAsia" w:hAnsiTheme="minorEastAsia" w:eastAsiaTheme="minorEastAsia" w:cstheme="minorEastAsia"/>
                <w:color w:val="auto"/>
                <w:sz w:val="24"/>
                <w:szCs w:val="24"/>
              </w:rPr>
            </w:pPr>
          </w:p>
        </w:tc>
        <w:tc>
          <w:tcPr>
            <w:tcW w:w="10004" w:type="dxa"/>
            <w:vAlign w:val="center"/>
          </w:tcPr>
          <w:p>
            <w:pPr>
              <w:spacing w:before="1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审核员：</w:t>
            </w:r>
            <w:r>
              <w:rPr>
                <w:rFonts w:hint="eastAsia"/>
                <w:sz w:val="24"/>
                <w:szCs w:val="24"/>
              </w:rPr>
              <w:t>张磊</w:t>
            </w:r>
            <w:r>
              <w:rPr>
                <w:rFonts w:hint="eastAsia"/>
                <w:sz w:val="24"/>
                <w:szCs w:val="24"/>
                <w:lang w:eastAsia="zh-CN"/>
              </w:rPr>
              <w:t>（</w:t>
            </w:r>
            <w:r>
              <w:rPr>
                <w:rFonts w:hint="eastAsia"/>
                <w:sz w:val="24"/>
                <w:szCs w:val="24"/>
                <w:lang w:val="en-US" w:eastAsia="zh-CN"/>
              </w:rPr>
              <w:t>见证</w:t>
            </w:r>
            <w:r>
              <w:rPr>
                <w:rFonts w:hint="eastAsia"/>
                <w:sz w:val="24"/>
                <w:szCs w:val="24"/>
                <w:lang w:eastAsia="zh-CN"/>
              </w:rPr>
              <w:t>）</w:t>
            </w:r>
            <w:r>
              <w:rPr>
                <w:rFonts w:hint="eastAsia"/>
                <w:sz w:val="24"/>
                <w:szCs w:val="24"/>
                <w:lang w:val="en-US" w:eastAsia="zh-CN"/>
              </w:rPr>
              <w:t>岳树亮</w:t>
            </w:r>
            <w:r>
              <w:rPr>
                <w:rFonts w:hint="eastAsia"/>
                <w:sz w:val="24"/>
                <w:szCs w:val="24"/>
                <w:lang w:eastAsia="zh-CN"/>
              </w:rPr>
              <w:t>（</w:t>
            </w:r>
            <w:r>
              <w:rPr>
                <w:rFonts w:hint="eastAsia"/>
                <w:sz w:val="24"/>
                <w:szCs w:val="24"/>
                <w:lang w:val="en-US" w:eastAsia="zh-CN"/>
              </w:rPr>
              <w:t>被见证</w:t>
            </w:r>
            <w:r>
              <w:rPr>
                <w:rFonts w:hint="eastAsia"/>
                <w:sz w:val="24"/>
                <w:szCs w:val="24"/>
                <w:lang w:eastAsia="zh-CN"/>
              </w:rPr>
              <w:t>）</w:t>
            </w:r>
            <w:r>
              <w:rPr>
                <w:rFonts w:hint="eastAsia" w:asciiTheme="minorEastAsia" w:hAnsiTheme="minorEastAsia" w:eastAsiaTheme="minorEastAsia" w:cstheme="minorEastAsia"/>
                <w:color w:val="auto"/>
                <w:sz w:val="24"/>
                <w:szCs w:val="24"/>
              </w:rPr>
              <w:t xml:space="preserve">               审核时间：20</w:t>
            </w:r>
            <w:r>
              <w:rPr>
                <w:rFonts w:hint="eastAsia" w:asciiTheme="minorEastAsia" w:hAnsiTheme="minorEastAsia" w:eastAsiaTheme="minorEastAsia" w:cstheme="minorEastAsia"/>
                <w:color w:val="auto"/>
                <w:sz w:val="24"/>
                <w:szCs w:val="24"/>
                <w:lang w:val="en-US" w:eastAsia="zh-CN"/>
              </w:rPr>
              <w:t>21</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lang w:val="en-US" w:eastAsia="zh-CN"/>
              </w:rPr>
              <w:t>30</w:t>
            </w:r>
            <w:r>
              <w:rPr>
                <w:rFonts w:hint="eastAsia" w:asciiTheme="minorEastAsia" w:hAnsiTheme="minorEastAsia" w:eastAsiaTheme="minorEastAsia" w:cstheme="minorEastAsia"/>
                <w:color w:val="auto"/>
                <w:sz w:val="24"/>
                <w:szCs w:val="24"/>
              </w:rPr>
              <w:t>日</w:t>
            </w:r>
          </w:p>
        </w:tc>
        <w:tc>
          <w:tcPr>
            <w:tcW w:w="1585" w:type="dxa"/>
            <w:vMerge w:val="continue"/>
          </w:tcPr>
          <w:p>
            <w:pP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Theme="minorEastAsia" w:hAnsiTheme="minorEastAsia" w:eastAsiaTheme="minorEastAsia" w:cstheme="minorEastAsia"/>
                <w:color w:val="auto"/>
                <w:sz w:val="24"/>
                <w:szCs w:val="24"/>
              </w:rPr>
            </w:pPr>
          </w:p>
        </w:tc>
        <w:tc>
          <w:tcPr>
            <w:tcW w:w="960" w:type="dxa"/>
            <w:vMerge w:val="continue"/>
            <w:vAlign w:val="center"/>
          </w:tcPr>
          <w:p>
            <w:pPr>
              <w:rPr>
                <w:rFonts w:hint="eastAsia" w:asciiTheme="minorEastAsia" w:hAnsiTheme="minorEastAsia" w:eastAsiaTheme="minorEastAsia" w:cstheme="minorEastAsia"/>
                <w:color w:val="auto"/>
                <w:sz w:val="24"/>
                <w:szCs w:val="24"/>
              </w:rPr>
            </w:pPr>
          </w:p>
        </w:tc>
        <w:tc>
          <w:tcPr>
            <w:tcW w:w="10004" w:type="dxa"/>
            <w:vAlign w:val="center"/>
          </w:tcPr>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审核条款：</w:t>
            </w:r>
          </w:p>
          <w:p>
            <w:pPr>
              <w:snapToGrid w:val="0"/>
              <w:spacing w:line="280" w:lineRule="exact"/>
              <w:jc w:val="left"/>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rPr>
              <w:t>QMS：</w:t>
            </w:r>
            <w:r>
              <w:rPr>
                <w:rFonts w:hint="eastAsia" w:asciiTheme="minorEastAsia" w:hAnsiTheme="minorEastAsia" w:eastAsiaTheme="minorEastAsia" w:cstheme="minorEastAsia"/>
                <w:bCs/>
                <w:color w:val="auto"/>
                <w:sz w:val="24"/>
                <w:szCs w:val="24"/>
                <w:lang w:val="en-US" w:eastAsia="zh-CN"/>
              </w:rPr>
              <w:t>4</w:t>
            </w:r>
            <w:r>
              <w:rPr>
                <w:rFonts w:hint="eastAsia" w:asciiTheme="minorEastAsia" w:hAnsiTheme="minorEastAsia" w:eastAsiaTheme="minorEastAsia" w:cstheme="minorEastAsia"/>
                <w:bCs/>
                <w:color w:val="auto"/>
                <w:sz w:val="24"/>
                <w:szCs w:val="24"/>
              </w:rPr>
              <w:t>、</w:t>
            </w:r>
            <w:r>
              <w:rPr>
                <w:rFonts w:hint="eastAsia" w:asciiTheme="minorEastAsia" w:hAnsiTheme="minorEastAsia" w:eastAsiaTheme="minorEastAsia" w:cstheme="minorEastAsia"/>
                <w:bCs/>
                <w:color w:val="auto"/>
                <w:sz w:val="24"/>
                <w:szCs w:val="24"/>
                <w:lang w:val="en-US" w:eastAsia="zh-CN"/>
              </w:rPr>
              <w:t>5、</w:t>
            </w:r>
            <w:r>
              <w:rPr>
                <w:rFonts w:hint="eastAsia" w:asciiTheme="minorEastAsia" w:hAnsiTheme="minorEastAsia" w:eastAsiaTheme="minorEastAsia" w:cstheme="minorEastAsia"/>
                <w:bCs/>
                <w:color w:val="auto"/>
                <w:sz w:val="24"/>
                <w:szCs w:val="24"/>
              </w:rPr>
              <w:t>6、</w:t>
            </w:r>
            <w:r>
              <w:rPr>
                <w:rFonts w:hint="eastAsia" w:asciiTheme="minorEastAsia" w:hAnsiTheme="minorEastAsia" w:eastAsiaTheme="minorEastAsia" w:cstheme="minorEastAsia"/>
                <w:bCs/>
                <w:color w:val="auto"/>
                <w:sz w:val="24"/>
                <w:szCs w:val="24"/>
                <w:lang w:val="en-US" w:eastAsia="zh-CN"/>
              </w:rPr>
              <w:t>7.1.1、</w:t>
            </w:r>
            <w:r>
              <w:rPr>
                <w:rFonts w:hint="eastAsia" w:asciiTheme="minorEastAsia" w:hAnsiTheme="minorEastAsia" w:eastAsiaTheme="minorEastAsia" w:cstheme="minorEastAsia"/>
                <w:bCs/>
                <w:color w:val="auto"/>
                <w:sz w:val="24"/>
                <w:szCs w:val="24"/>
              </w:rPr>
              <w:t>7.4、7.</w:t>
            </w:r>
            <w:r>
              <w:rPr>
                <w:rFonts w:hint="eastAsia" w:asciiTheme="minorEastAsia" w:hAnsiTheme="minorEastAsia" w:eastAsiaTheme="minorEastAsia" w:cstheme="minorEastAsia"/>
                <w:bCs/>
                <w:color w:val="auto"/>
                <w:sz w:val="24"/>
                <w:szCs w:val="24"/>
                <w:lang w:val="en-US" w:eastAsia="zh-CN"/>
              </w:rPr>
              <w:t>5</w:t>
            </w:r>
            <w:r>
              <w:rPr>
                <w:rFonts w:hint="eastAsia" w:asciiTheme="minorEastAsia" w:hAnsiTheme="minorEastAsia" w:eastAsiaTheme="minorEastAsia" w:cstheme="minorEastAsia"/>
                <w:bCs/>
                <w:color w:val="auto"/>
                <w:sz w:val="24"/>
                <w:szCs w:val="24"/>
              </w:rPr>
              <w:t>.</w:t>
            </w:r>
            <w:r>
              <w:rPr>
                <w:rFonts w:hint="eastAsia" w:asciiTheme="minorEastAsia" w:hAnsiTheme="minorEastAsia" w:eastAsiaTheme="minorEastAsia" w:cstheme="minorEastAsia"/>
                <w:bCs/>
                <w:color w:val="auto"/>
                <w:sz w:val="24"/>
                <w:szCs w:val="24"/>
                <w:lang w:val="en-US" w:eastAsia="zh-CN"/>
              </w:rPr>
              <w:t>1</w:t>
            </w:r>
            <w:r>
              <w:rPr>
                <w:rFonts w:hint="eastAsia" w:asciiTheme="minorEastAsia" w:hAnsiTheme="minorEastAsia" w:eastAsiaTheme="minorEastAsia" w:cstheme="minorEastAsia"/>
                <w:bCs/>
                <w:color w:val="auto"/>
                <w:sz w:val="24"/>
                <w:szCs w:val="24"/>
              </w:rPr>
              <w:t>、</w:t>
            </w:r>
            <w:r>
              <w:rPr>
                <w:rFonts w:hint="eastAsia" w:asciiTheme="minorEastAsia" w:hAnsiTheme="minorEastAsia" w:eastAsiaTheme="minorEastAsia" w:cstheme="minorEastAsia"/>
                <w:bCs/>
                <w:color w:val="auto"/>
                <w:sz w:val="24"/>
                <w:szCs w:val="24"/>
                <w:lang w:val="en-US" w:eastAsia="zh-CN"/>
              </w:rPr>
              <w:t>8.3</w:t>
            </w:r>
            <w:r>
              <w:rPr>
                <w:rFonts w:hint="eastAsia" w:asciiTheme="minorEastAsia" w:hAnsiTheme="minorEastAsia" w:eastAsiaTheme="minorEastAsia" w:cstheme="minorEastAsia"/>
                <w:bCs/>
                <w:color w:val="auto"/>
                <w:sz w:val="24"/>
                <w:szCs w:val="24"/>
              </w:rPr>
              <w:t>、</w:t>
            </w:r>
            <w:r>
              <w:rPr>
                <w:rFonts w:hint="eastAsia" w:asciiTheme="minorEastAsia" w:hAnsiTheme="minorEastAsia" w:eastAsiaTheme="minorEastAsia" w:cstheme="minorEastAsia"/>
                <w:bCs/>
                <w:color w:val="auto"/>
                <w:sz w:val="24"/>
                <w:szCs w:val="24"/>
                <w:lang w:val="en-US" w:eastAsia="zh-CN"/>
              </w:rPr>
              <w:t>9.1.1</w:t>
            </w:r>
            <w:r>
              <w:rPr>
                <w:rFonts w:hint="eastAsia" w:asciiTheme="minorEastAsia" w:hAnsiTheme="minorEastAsia" w:eastAsiaTheme="minorEastAsia" w:cstheme="minorEastAsia"/>
                <w:bCs/>
                <w:color w:val="auto"/>
                <w:sz w:val="24"/>
                <w:szCs w:val="24"/>
              </w:rPr>
              <w:t>、</w:t>
            </w:r>
            <w:r>
              <w:rPr>
                <w:rFonts w:hint="eastAsia" w:asciiTheme="minorEastAsia" w:hAnsiTheme="minorEastAsia" w:eastAsiaTheme="minorEastAsia" w:cstheme="minorEastAsia"/>
                <w:bCs/>
                <w:color w:val="auto"/>
                <w:sz w:val="24"/>
                <w:szCs w:val="24"/>
                <w:lang w:val="en-US" w:eastAsia="zh-CN"/>
              </w:rPr>
              <w:t>9.1</w:t>
            </w:r>
            <w:r>
              <w:rPr>
                <w:rFonts w:hint="eastAsia" w:asciiTheme="minorEastAsia" w:hAnsiTheme="minorEastAsia" w:eastAsiaTheme="minorEastAsia" w:cstheme="minorEastAsia"/>
                <w:bCs/>
                <w:color w:val="auto"/>
                <w:sz w:val="24"/>
                <w:szCs w:val="24"/>
              </w:rPr>
              <w:t>.3、</w:t>
            </w:r>
            <w:r>
              <w:rPr>
                <w:rFonts w:hint="eastAsia" w:asciiTheme="minorEastAsia" w:hAnsiTheme="minorEastAsia" w:eastAsiaTheme="minorEastAsia" w:cstheme="minorEastAsia"/>
                <w:bCs/>
                <w:color w:val="auto"/>
                <w:sz w:val="24"/>
                <w:szCs w:val="24"/>
                <w:lang w:val="en-US" w:eastAsia="zh-CN"/>
              </w:rPr>
              <w:t>9.3</w:t>
            </w:r>
            <w:r>
              <w:rPr>
                <w:rFonts w:hint="eastAsia" w:asciiTheme="minorEastAsia" w:hAnsiTheme="minorEastAsia" w:eastAsiaTheme="minorEastAsia" w:cstheme="minorEastAsia"/>
                <w:bCs/>
                <w:color w:val="auto"/>
                <w:sz w:val="24"/>
                <w:szCs w:val="24"/>
              </w:rPr>
              <w:t>、</w:t>
            </w:r>
            <w:r>
              <w:rPr>
                <w:rFonts w:hint="eastAsia" w:asciiTheme="minorEastAsia" w:hAnsiTheme="minorEastAsia" w:eastAsiaTheme="minorEastAsia" w:cstheme="minorEastAsia"/>
                <w:bCs/>
                <w:color w:val="auto"/>
                <w:sz w:val="24"/>
                <w:szCs w:val="24"/>
                <w:lang w:val="en-US" w:eastAsia="zh-CN"/>
              </w:rPr>
              <w:t>10.1、10.3</w:t>
            </w:r>
          </w:p>
        </w:tc>
        <w:tc>
          <w:tcPr>
            <w:tcW w:w="1585" w:type="dxa"/>
            <w:vMerge w:val="continue"/>
          </w:tcPr>
          <w:p>
            <w:pP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160" w:type="dxa"/>
            <w:vAlign w:val="top"/>
          </w:tcPr>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初审阶段问题验证/投诉或事故/政府主管部门监督抽查情况</w:t>
            </w:r>
          </w:p>
        </w:tc>
        <w:tc>
          <w:tcPr>
            <w:tcW w:w="960" w:type="dxa"/>
            <w:vAlign w:val="top"/>
          </w:tcPr>
          <w:p>
            <w:pPr>
              <w:rPr>
                <w:rFonts w:hint="eastAsia" w:asciiTheme="minorEastAsia" w:hAnsiTheme="minorEastAsia" w:eastAsiaTheme="minorEastAsia" w:cstheme="minorEastAsia"/>
                <w:color w:val="auto"/>
                <w:sz w:val="24"/>
                <w:szCs w:val="24"/>
                <w:lang w:val="en-US" w:eastAsia="zh-CN"/>
              </w:rPr>
            </w:pPr>
          </w:p>
        </w:tc>
        <w:tc>
          <w:tcPr>
            <w:tcW w:w="10004" w:type="dxa"/>
            <w:vAlign w:val="top"/>
          </w:tcPr>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初审阶段问题已整改，详见法律法规清单，体系运行期间无投诉或事故发生，无政府部门抽查情况</w:t>
            </w:r>
          </w:p>
          <w:p>
            <w:pPr>
              <w:rPr>
                <w:rFonts w:hint="eastAsia" w:asciiTheme="minorEastAsia" w:hAnsiTheme="minorEastAsia" w:eastAsiaTheme="minorEastAsia" w:cstheme="minorEastAsia"/>
                <w:color w:val="auto"/>
                <w:sz w:val="24"/>
                <w:szCs w:val="24"/>
                <w:lang w:val="en-US" w:eastAsia="zh-CN"/>
              </w:rPr>
            </w:pPr>
          </w:p>
          <w:p>
            <w:pP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现场确认企业实际情况与远程审核一致</w:t>
            </w:r>
          </w:p>
        </w:tc>
        <w:tc>
          <w:tcPr>
            <w:tcW w:w="1585" w:type="dxa"/>
            <w:vAlign w:val="top"/>
          </w:tcPr>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3" w:hRule="atLeast"/>
        </w:trPr>
        <w:tc>
          <w:tcPr>
            <w:tcW w:w="2160" w:type="dxa"/>
          </w:tcPr>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理解组织及环境</w:t>
            </w:r>
          </w:p>
        </w:tc>
        <w:tc>
          <w:tcPr>
            <w:tcW w:w="960" w:type="dxa"/>
          </w:tcPr>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Q4.1</w:t>
            </w:r>
          </w:p>
        </w:tc>
        <w:tc>
          <w:tcPr>
            <w:tcW w:w="10004" w:type="dxa"/>
          </w:tcPr>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 xml:space="preserve">总经理: </w:t>
            </w:r>
            <w:r>
              <w:rPr>
                <w:rFonts w:hint="eastAsia" w:asciiTheme="minorEastAsia" w:hAnsiTheme="minorEastAsia" w:eastAsiaTheme="minorEastAsia" w:cstheme="minorEastAsia"/>
                <w:color w:val="auto"/>
                <w:sz w:val="24"/>
                <w:szCs w:val="24"/>
                <w:lang w:eastAsia="zh-CN"/>
              </w:rPr>
              <w:t>马连华</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 xml:space="preserve">管理者代表: </w:t>
            </w:r>
            <w:r>
              <w:rPr>
                <w:rFonts w:hint="eastAsia" w:asciiTheme="minorEastAsia" w:hAnsiTheme="minorEastAsia" w:eastAsiaTheme="minorEastAsia" w:cstheme="minorEastAsia"/>
                <w:color w:val="auto"/>
                <w:sz w:val="24"/>
                <w:szCs w:val="24"/>
                <w:lang w:eastAsia="zh-CN"/>
              </w:rPr>
              <w:t>马禄</w:t>
            </w:r>
            <w:r>
              <w:rPr>
                <w:rFonts w:hint="eastAsia" w:asciiTheme="minorEastAsia" w:hAnsiTheme="minorEastAsia" w:eastAsiaTheme="minorEastAsia" w:cstheme="minorEastAsia"/>
                <w:color w:val="auto"/>
                <w:sz w:val="24"/>
                <w:szCs w:val="24"/>
              </w:rPr>
              <w:t>，知晓除本身工作职责外，管理体系还赋予其职责和权限</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 xml:space="preserve"> 持续保持管理体系运行的有效性。 公司成立于200</w:t>
            </w:r>
            <w:r>
              <w:rPr>
                <w:rFonts w:hint="eastAsia" w:asciiTheme="minorEastAsia" w:hAnsiTheme="minorEastAsia" w:eastAsiaTheme="minorEastAsia" w:cstheme="minorEastAsia"/>
                <w:color w:val="auto"/>
                <w:sz w:val="24"/>
                <w:szCs w:val="24"/>
                <w:lang w:val="en-US" w:eastAsia="zh-CN"/>
              </w:rPr>
              <w:t>7</w:t>
            </w:r>
            <w:r>
              <w:rPr>
                <w:rFonts w:hint="eastAsia" w:asciiTheme="minorEastAsia" w:hAnsiTheme="minorEastAsia" w:eastAsiaTheme="minorEastAsia" w:cstheme="minorEastAsia"/>
                <w:color w:val="auto"/>
                <w:sz w:val="24"/>
                <w:szCs w:val="24"/>
              </w:rPr>
              <w:t xml:space="preserve">年 </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lang w:val="en-US" w:eastAsia="zh-CN"/>
              </w:rPr>
              <w:t>经营范围包括：超声波电源、陶瓷过滤机、超声波换能盒、超声波清洗机、矿山设备及机电设备等。</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查</w:t>
            </w:r>
            <w:r>
              <w:rPr>
                <w:rFonts w:hint="eastAsia" w:asciiTheme="minorEastAsia" w:hAnsiTheme="minorEastAsia" w:eastAsiaTheme="minorEastAsia" w:cstheme="minorEastAsia"/>
                <w:color w:val="auto"/>
                <w:sz w:val="24"/>
                <w:szCs w:val="24"/>
              </w:rPr>
              <w:t>《相关方的要求和期望表》</w:t>
            </w:r>
            <w:r>
              <w:rPr>
                <w:rFonts w:hint="eastAsia" w:asciiTheme="minorEastAsia" w:hAnsiTheme="minorEastAsia" w:eastAsiaTheme="minorEastAsia" w:cstheme="minorEastAsia"/>
                <w:color w:val="auto"/>
                <w:sz w:val="24"/>
                <w:szCs w:val="24"/>
                <w:lang w:eastAsia="zh-CN"/>
              </w:rPr>
              <w:t>和《风险和机遇评估分析表》，</w:t>
            </w:r>
            <w:r>
              <w:rPr>
                <w:rFonts w:hint="eastAsia" w:asciiTheme="minorEastAsia" w:hAnsiTheme="minorEastAsia" w:eastAsiaTheme="minorEastAsia" w:cstheme="minorEastAsia"/>
                <w:color w:val="auto"/>
                <w:sz w:val="24"/>
                <w:szCs w:val="24"/>
                <w:lang w:val="en-US" w:eastAsia="zh-CN"/>
              </w:rPr>
              <w:t>分析了组织相关的内外部因素：</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内部因素：■管理流程</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公司运营</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；■人员的流动；■员工业务素质；■绩效考核；</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外部因素：■</w:t>
            </w:r>
            <w:r>
              <w:rPr>
                <w:rFonts w:hint="eastAsia" w:asciiTheme="minorEastAsia" w:hAnsiTheme="minorEastAsia" w:eastAsiaTheme="minorEastAsia" w:cstheme="minorEastAsia"/>
                <w:color w:val="auto"/>
                <w:sz w:val="24"/>
                <w:szCs w:val="24"/>
                <w:lang w:eastAsia="zh-CN"/>
              </w:rPr>
              <w:t>法规要求</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相关方要求</w:t>
            </w:r>
            <w:r>
              <w:rPr>
                <w:rFonts w:hint="eastAsia" w:asciiTheme="minorEastAsia" w:hAnsiTheme="minorEastAsia" w:eastAsiaTheme="minorEastAsia" w:cstheme="minorEastAsia"/>
                <w:color w:val="auto"/>
                <w:sz w:val="24"/>
                <w:szCs w:val="24"/>
              </w:rPr>
              <w:t>；■竞争；■</w:t>
            </w:r>
            <w:r>
              <w:rPr>
                <w:rFonts w:hint="eastAsia" w:asciiTheme="minorEastAsia" w:hAnsiTheme="minorEastAsia" w:eastAsiaTheme="minorEastAsia" w:cstheme="minorEastAsia"/>
                <w:color w:val="auto"/>
                <w:sz w:val="24"/>
                <w:szCs w:val="24"/>
                <w:lang w:eastAsia="zh-CN"/>
              </w:rPr>
              <w:t>市场</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文化</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社会</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经济。</w:t>
            </w:r>
          </w:p>
        </w:tc>
        <w:tc>
          <w:tcPr>
            <w:tcW w:w="1585" w:type="dxa"/>
          </w:tcPr>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trPr>
        <w:tc>
          <w:tcPr>
            <w:tcW w:w="2160" w:type="dxa"/>
          </w:tcPr>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相关方需求和期望</w:t>
            </w:r>
          </w:p>
        </w:tc>
        <w:tc>
          <w:tcPr>
            <w:tcW w:w="960" w:type="dxa"/>
          </w:tcPr>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Q4.2</w:t>
            </w:r>
          </w:p>
        </w:tc>
        <w:tc>
          <w:tcPr>
            <w:tcW w:w="10004" w:type="dxa"/>
          </w:tcPr>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公司相关方包括：顾客、外部供方、厂界周边企业和居民、政府机构、审核机构、公司经营者、员工。查《相关方的要求和期望表》，明确写明相关方的需求和期望，公司监测的指标或项目以及监测频率和负责部门。</w:t>
            </w:r>
          </w:p>
        </w:tc>
        <w:tc>
          <w:tcPr>
            <w:tcW w:w="1585" w:type="dxa"/>
          </w:tcPr>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trPr>
        <w:tc>
          <w:tcPr>
            <w:tcW w:w="2160" w:type="dxa"/>
          </w:tcPr>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质量管理体系的范围</w:t>
            </w:r>
          </w:p>
        </w:tc>
        <w:tc>
          <w:tcPr>
            <w:tcW w:w="960" w:type="dxa"/>
          </w:tcPr>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Q4.3</w:t>
            </w:r>
          </w:p>
        </w:tc>
        <w:tc>
          <w:tcPr>
            <w:tcW w:w="10004" w:type="dxa"/>
          </w:tcPr>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申请认证的范围：</w:t>
            </w:r>
            <w:bookmarkStart w:id="0" w:name="审核范围"/>
            <w:r>
              <w:rPr>
                <w:rFonts w:hint="eastAsia" w:asciiTheme="minorEastAsia" w:hAnsiTheme="minorEastAsia" w:eastAsiaTheme="minorEastAsia" w:cstheme="minorEastAsia"/>
                <w:color w:val="auto"/>
                <w:sz w:val="24"/>
                <w:szCs w:val="24"/>
                <w:lang w:val="en-US" w:eastAsia="zh-CN"/>
              </w:rPr>
              <w:t>矿山设备的生产（资质许可范围内除外）</w:t>
            </w:r>
            <w:bookmarkEnd w:id="0"/>
            <w:r>
              <w:rPr>
                <w:rFonts w:hint="eastAsia" w:asciiTheme="minorEastAsia" w:hAnsiTheme="minorEastAsia" w:eastAsiaTheme="minorEastAsia" w:cstheme="minorEastAsia"/>
                <w:color w:val="auto"/>
                <w:sz w:val="24"/>
                <w:szCs w:val="24"/>
                <w:lang w:val="en-US" w:eastAsia="zh-CN"/>
              </w:rPr>
              <w:t xml:space="preserve"> （例如：超声波电源、陶瓷过滤机、超声波振盒 超声波清洗机等）。</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覆盖的部门：综合部、生产部（车间）、供销部（仓库）、质管部</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覆盖的时期：2019年9月至现在</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注册地址：安徽省铜陵市郊区大通镇金华村</w:t>
            </w:r>
          </w:p>
        </w:tc>
        <w:tc>
          <w:tcPr>
            <w:tcW w:w="1585" w:type="dxa"/>
          </w:tcPr>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trPr>
        <w:tc>
          <w:tcPr>
            <w:tcW w:w="2160" w:type="dxa"/>
          </w:tcPr>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质量管理体系及其过程</w:t>
            </w:r>
          </w:p>
        </w:tc>
        <w:tc>
          <w:tcPr>
            <w:tcW w:w="960" w:type="dxa"/>
          </w:tcPr>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Q4.4</w:t>
            </w:r>
          </w:p>
        </w:tc>
        <w:tc>
          <w:tcPr>
            <w:tcW w:w="10004" w:type="dxa"/>
          </w:tcPr>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质量方面：查《质量手册》4.4质量管理体系及其过程</w:t>
            </w:r>
          </w:p>
          <w:p>
            <w:pPr>
              <w:pStyle w:val="12"/>
              <w:numPr>
                <w:ilvl w:val="0"/>
                <w:numId w:val="1"/>
              </w:numPr>
              <w:ind w:firstLineChars="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与顾客有关的过程COP——5个</w:t>
            </w:r>
          </w:p>
          <w:p>
            <w:pPr>
              <w:pStyle w:val="12"/>
              <w:numPr>
                <w:ilvl w:val="0"/>
                <w:numId w:val="1"/>
              </w:numPr>
              <w:ind w:firstLineChars="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支持过程SP——15个</w:t>
            </w:r>
          </w:p>
          <w:p>
            <w:pPr>
              <w:pStyle w:val="12"/>
              <w:numPr>
                <w:ilvl w:val="0"/>
                <w:numId w:val="1"/>
              </w:numPr>
              <w:ind w:firstLineChars="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kern w:val="2"/>
                <w:sz w:val="24"/>
                <w:szCs w:val="24"/>
                <w:lang w:val="en-US" w:eastAsia="zh-CN" w:bidi="ar-SA"/>
              </w:rPr>
              <w:t>管理过程MP——8个</w:t>
            </w:r>
          </w:p>
        </w:tc>
        <w:tc>
          <w:tcPr>
            <w:tcW w:w="1585" w:type="dxa"/>
          </w:tcPr>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4" w:hRule="atLeast"/>
        </w:trPr>
        <w:tc>
          <w:tcPr>
            <w:tcW w:w="2160" w:type="dxa"/>
          </w:tcPr>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领导的作用和承诺</w:t>
            </w:r>
          </w:p>
        </w:tc>
        <w:tc>
          <w:tcPr>
            <w:tcW w:w="960" w:type="dxa"/>
          </w:tcPr>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Q5.1</w:t>
            </w:r>
          </w:p>
        </w:tc>
        <w:tc>
          <w:tcPr>
            <w:tcW w:w="10004" w:type="dxa"/>
          </w:tcPr>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在《质量手册》中5.1.1条款中有关于最高管理者承诺的描述；包括下列内容：</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a）对质量管理体系的有效性承担责任；</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b）确保制定质量管理体系的质量方针和质量目标，并与组织环境相适应，与战略方向相一致；</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c）确保质量管理体系要求融入公司的业务过程；</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d）促进使用过程方法和基于风险的思维；</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e）确保质量管理体系所需的资源是可获得的；</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f）沟通有效的质量管理和符合质量管理体系要求的重要性；</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g）确保质量管理体系实现其预期结果；</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h）促进、指导和支持人员为质量管理体系的有效性做出贡献；</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i）推动改进；</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j）支持其他相关管理者在其职责范围内发挥领导作用。</w:t>
            </w:r>
          </w:p>
          <w:p>
            <w:pPr>
              <w:spacing w:line="340" w:lineRule="exact"/>
              <w:rPr>
                <w:rFonts w:hint="eastAsia" w:asciiTheme="minorEastAsia" w:hAnsiTheme="minorEastAsia" w:eastAsiaTheme="minorEastAsia" w:cstheme="minorEastAsia"/>
                <w:color w:val="auto"/>
                <w:sz w:val="24"/>
                <w:szCs w:val="24"/>
                <w:lang w:val="en-US" w:eastAsia="zh-CN"/>
              </w:rPr>
            </w:pP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在《质量手册》中5.1.2条款</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最高管理者通过以下方面，确保证实其以顾客为关注焦点的领导作用和承诺： </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a）确定、理解并持续地满足顾客要求以及适用的法律法规要求； </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b）确定和应对风险和机遇，这些风险和机遇可能影响产品和服务的合格，以及增强顾客满意能力； </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c）始终致力于增强顾客满意。 </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——由综合部负责收集评价法律法规，形成管理制度，各部门有效实施；供销部及时处置顾客投诉和建议，设定顾客满意度质量目标达到97%以上。</w:t>
            </w:r>
          </w:p>
          <w:p>
            <w:pPr>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供销部每年进行顾客满意度调查，了解客户的需求和期望，并将之转化为公司的生产质量要求并予以确定，交付符合顾客要求和法规要求的产品，以增强顾客满意。</w:t>
            </w:r>
          </w:p>
        </w:tc>
        <w:tc>
          <w:tcPr>
            <w:tcW w:w="1585" w:type="dxa"/>
          </w:tcPr>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160" w:type="dxa"/>
          </w:tcPr>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质量方针</w:t>
            </w:r>
          </w:p>
        </w:tc>
        <w:tc>
          <w:tcPr>
            <w:tcW w:w="960" w:type="dxa"/>
          </w:tcPr>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Q5.2</w:t>
            </w:r>
          </w:p>
        </w:tc>
        <w:tc>
          <w:tcPr>
            <w:tcW w:w="10004" w:type="dxa"/>
          </w:tcPr>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在《管理手册》中06质量方针和目标 章节中</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企业质量方针：“科学管理，持续改进，精益求精，为顾客提供优质的产品和满意的服务。”</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与公司的经营宗旨相适应，体现公司在质量方面追求的承诺。体现了满足和遵守相关法律法规的承诺、体现了持续改进管理体系的承诺，为质量目标的制定和评审提供了框架，通过组织学习培训， 使全员了解公司质量方针的内涵。为质量方针的实现努力工作，经管理评审确认，方针适合于公司现状，目前暂不作修订。</w:t>
            </w:r>
          </w:p>
        </w:tc>
        <w:tc>
          <w:tcPr>
            <w:tcW w:w="1585" w:type="dxa"/>
          </w:tcPr>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2160" w:type="dxa"/>
          </w:tcPr>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组织的岗位职责和权限</w:t>
            </w:r>
          </w:p>
        </w:tc>
        <w:tc>
          <w:tcPr>
            <w:tcW w:w="960" w:type="dxa"/>
          </w:tcPr>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Q5.3</w:t>
            </w:r>
          </w:p>
        </w:tc>
        <w:tc>
          <w:tcPr>
            <w:tcW w:w="10004" w:type="dxa"/>
          </w:tcPr>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管理者代表: </w:t>
            </w:r>
            <w:r>
              <w:rPr>
                <w:rFonts w:hint="eastAsia" w:asciiTheme="minorEastAsia" w:hAnsiTheme="minorEastAsia" w:eastAsiaTheme="minorEastAsia" w:cstheme="minorEastAsia"/>
                <w:color w:val="auto"/>
                <w:sz w:val="24"/>
                <w:szCs w:val="24"/>
                <w:lang w:eastAsia="zh-CN"/>
              </w:rPr>
              <w:t>马禄</w:t>
            </w:r>
            <w:r>
              <w:rPr>
                <w:rFonts w:hint="eastAsia" w:asciiTheme="minorEastAsia" w:hAnsiTheme="minorEastAsia" w:eastAsiaTheme="minorEastAsia" w:cstheme="minorEastAsia"/>
                <w:color w:val="auto"/>
                <w:sz w:val="24"/>
                <w:szCs w:val="24"/>
              </w:rPr>
              <w:t>，知晓除本身工作职责外，管理体系还赋予其职责和权限</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 xml:space="preserve"> 持续保持管理体系运行的有效性。</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管理层策划公司的组织机构为4个部门，即综合部、生产部、供销部、质管部。至今组织机构未变更，在《岗位职责及岗位任职条件》中明确了各部门的质量职责和权限及其接口关系。查《岗位职责及岗位任职条件》文件，各部门的职责与权限与《员工评价表》基本一致，基本符合标准要求。</w:t>
            </w:r>
          </w:p>
        </w:tc>
        <w:tc>
          <w:tcPr>
            <w:tcW w:w="1585" w:type="dxa"/>
          </w:tcPr>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2" w:hRule="atLeast"/>
        </w:trPr>
        <w:tc>
          <w:tcPr>
            <w:tcW w:w="2160" w:type="dxa"/>
          </w:tcPr>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应对风险和机遇的措施</w:t>
            </w:r>
          </w:p>
        </w:tc>
        <w:tc>
          <w:tcPr>
            <w:tcW w:w="960" w:type="dxa"/>
          </w:tcPr>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Q6.1</w:t>
            </w:r>
          </w:p>
        </w:tc>
        <w:tc>
          <w:tcPr>
            <w:tcW w:w="10004" w:type="dxa"/>
          </w:tcPr>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公司在策划质量管理体系时，为确保质量管理体系能够实现其预期结果、增强有利影响避免或减少不利影响并实现改进，管理者代表考虑公司环境有关的外部和内部因素、相关方的需求和期望，通过推动SWOT分析方法来确定应对风险和机遇措施。</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提供公司质量管理体系《风险和机遇评估及应对措施分析表》《风险和机会应对措施有效性评价表》，对管理流程（公司运营）、人员的流动、员工业务素质、绩效考核、法规要求、相关方要求、竞争、市场、文化、社会、经济风险等进行了措施应对策划。</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通过制定相应管理制度，在质量管理体系过程中整合并实施这些措施，通过内审和生产调度会等方式评价这些措施的有效性。并保持应对风险和机遇的措施与其对产品和服务符合性的潜在影响相适应。</w:t>
            </w:r>
          </w:p>
        </w:tc>
        <w:tc>
          <w:tcPr>
            <w:tcW w:w="1585" w:type="dxa"/>
          </w:tcPr>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2160" w:type="dxa"/>
          </w:tcPr>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目标完成情况</w:t>
            </w:r>
          </w:p>
        </w:tc>
        <w:tc>
          <w:tcPr>
            <w:tcW w:w="960" w:type="dxa"/>
          </w:tcPr>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Q6.2</w:t>
            </w:r>
          </w:p>
        </w:tc>
        <w:tc>
          <w:tcPr>
            <w:tcW w:w="10004" w:type="dxa"/>
          </w:tcPr>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查《管理手册》中06质量方针和目标 章节中</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企业质量目标：一次性检验合格率达到98%以上；产品出厂检验合格率100%；顾客满意度达到97%以上。</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查2021年1月1日-2021年6月30日质量目标完成情况表，明确了目标的考核频次、计算方法、责任部门等。经查：目标均已完成。</w:t>
            </w:r>
          </w:p>
        </w:tc>
        <w:tc>
          <w:tcPr>
            <w:tcW w:w="1585" w:type="dxa"/>
          </w:tcPr>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变更策划</w:t>
            </w:r>
          </w:p>
        </w:tc>
        <w:tc>
          <w:tcPr>
            <w:tcW w:w="960" w:type="dxa"/>
          </w:tcPr>
          <w:p>
            <w:pP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Q6.</w:t>
            </w:r>
            <w:r>
              <w:rPr>
                <w:rFonts w:hint="eastAsia" w:asciiTheme="minorEastAsia" w:hAnsiTheme="minorEastAsia" w:eastAsiaTheme="minorEastAsia" w:cstheme="minorEastAsia"/>
                <w:color w:val="auto"/>
                <w:sz w:val="24"/>
                <w:szCs w:val="24"/>
                <w:lang w:val="en-US" w:eastAsia="zh-CN"/>
              </w:rPr>
              <w:t>3</w:t>
            </w:r>
          </w:p>
        </w:tc>
        <w:tc>
          <w:tcPr>
            <w:tcW w:w="10004" w:type="dxa"/>
          </w:tcPr>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在《管理手册》中6.3条款 有变更策划要求，体系运行近一年来，尚未发生变更。</w:t>
            </w:r>
          </w:p>
          <w:p>
            <w:pPr>
              <w:rPr>
                <w:rFonts w:hint="eastAsia" w:asciiTheme="minorEastAsia" w:hAnsiTheme="minorEastAsia" w:eastAsiaTheme="minorEastAsia" w:cstheme="minorEastAsia"/>
                <w:color w:val="auto"/>
                <w:sz w:val="24"/>
                <w:szCs w:val="24"/>
                <w:lang w:val="en-US" w:eastAsia="zh-CN"/>
              </w:rPr>
            </w:pPr>
          </w:p>
        </w:tc>
        <w:tc>
          <w:tcPr>
            <w:tcW w:w="1585" w:type="dxa"/>
          </w:tcPr>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3" w:hRule="atLeast"/>
        </w:trPr>
        <w:tc>
          <w:tcPr>
            <w:tcW w:w="2160" w:type="dxa"/>
          </w:tcPr>
          <w:p>
            <w:pPr>
              <w:rPr>
                <w:rFonts w:hint="eastAsia" w:asciiTheme="minorEastAsia" w:hAnsiTheme="minorEastAsia" w:eastAsiaTheme="minorEastAsia" w:cstheme="minorEastAsia"/>
                <w:color w:val="auto"/>
                <w:sz w:val="24"/>
                <w:szCs w:val="24"/>
                <w:lang w:val="en-US" w:eastAsia="zh-CN"/>
              </w:rPr>
            </w:pPr>
          </w:p>
          <w:p>
            <w:pPr>
              <w:rPr>
                <w:rFonts w:hint="eastAsia" w:asciiTheme="minorEastAsia" w:hAnsiTheme="minorEastAsia" w:eastAsiaTheme="minorEastAsia" w:cstheme="minorEastAsia"/>
                <w:color w:val="auto"/>
                <w:sz w:val="24"/>
                <w:szCs w:val="24"/>
                <w:lang w:val="en-US" w:eastAsia="zh-CN"/>
              </w:rPr>
            </w:pP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资源配置</w:t>
            </w:r>
          </w:p>
        </w:tc>
        <w:tc>
          <w:tcPr>
            <w:tcW w:w="960" w:type="dxa"/>
          </w:tcPr>
          <w:p>
            <w:pPr>
              <w:spacing w:before="120" w:line="340" w:lineRule="exact"/>
              <w:rPr>
                <w:rFonts w:hint="eastAsia" w:asciiTheme="minorEastAsia" w:hAnsiTheme="minorEastAsia" w:eastAsiaTheme="minorEastAsia" w:cstheme="minorEastAsia"/>
                <w:color w:val="auto"/>
                <w:sz w:val="24"/>
                <w:szCs w:val="24"/>
              </w:rPr>
            </w:pPr>
          </w:p>
          <w:p>
            <w:pPr>
              <w:spacing w:before="120" w:line="340" w:lineRule="exac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Q7.1.</w:t>
            </w:r>
            <w:r>
              <w:rPr>
                <w:rFonts w:hint="eastAsia" w:asciiTheme="minorEastAsia" w:hAnsiTheme="minorEastAsia" w:eastAsiaTheme="minorEastAsia" w:cstheme="minorEastAsia"/>
                <w:color w:val="auto"/>
                <w:sz w:val="24"/>
                <w:szCs w:val="24"/>
                <w:lang w:val="en-US" w:eastAsia="zh-CN"/>
              </w:rPr>
              <w:t>1</w:t>
            </w:r>
          </w:p>
          <w:p>
            <w:pPr>
              <w:rPr>
                <w:rFonts w:hint="eastAsia" w:asciiTheme="minorEastAsia" w:hAnsiTheme="minorEastAsia" w:eastAsiaTheme="minorEastAsia" w:cstheme="minorEastAsia"/>
                <w:color w:val="auto"/>
                <w:sz w:val="24"/>
                <w:szCs w:val="24"/>
              </w:rPr>
            </w:pPr>
          </w:p>
        </w:tc>
        <w:tc>
          <w:tcPr>
            <w:tcW w:w="10004" w:type="dxa"/>
          </w:tcPr>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查：为更好的为顾客服务，让顾客满意，公司注册资金300万元，生产区域1000多平米，提供了良好的办公环境和较为充分基础设施设备，公司目前15人，提供了基本的技术保障。</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提供设备设施：数控液压折弯机、液压剪板机、等离子切割机、电焊机、氩弧焊机、气动打标机、空气压缩机、自控远红外烘干炉、汉腾激光机、喷码机、钻铣床、钻床、落地式砂轮机、超声波强度声功率检测仪、超声阻抗分析仪，同时配备了用于测量的游标卡尺、卷尺、外径千分尺、示波器、电阻测试仪等</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技术人员：焊工一名、电工一名、钳工一名，详见Q7.2</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厂房为自建厂房。</w:t>
            </w:r>
          </w:p>
        </w:tc>
        <w:tc>
          <w:tcPr>
            <w:tcW w:w="1585" w:type="dxa"/>
          </w:tcPr>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符合</w:t>
            </w:r>
          </w:p>
          <w:p>
            <w:pP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3" w:hRule="atLeast"/>
        </w:trPr>
        <w:tc>
          <w:tcPr>
            <w:tcW w:w="2160" w:type="dxa"/>
          </w:tcPr>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沟通</w:t>
            </w:r>
          </w:p>
        </w:tc>
        <w:tc>
          <w:tcPr>
            <w:tcW w:w="960" w:type="dxa"/>
          </w:tcPr>
          <w:p>
            <w:pPr>
              <w:spacing w:before="120" w:line="3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Q7.4</w:t>
            </w:r>
          </w:p>
        </w:tc>
        <w:tc>
          <w:tcPr>
            <w:tcW w:w="10004" w:type="dxa"/>
          </w:tcPr>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编辑了《沟通控制程序》，公司目前内部沟通过程安排实施如下：</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1．信息可采取书面资料、质量记录、公告栏、内部刊物、讨论交流、电子媒体、声像设备、通讯、互联网等沟通的工具或方式予以传递。</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2．综合部和生产部负责收集政府主管部门和政策法规类信息，供销部负责与供方和顾客的信息沟通；</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3．综合部负责建立公司的信息库，分类整理，统一保存，传递和管理各类信息。</w:t>
            </w:r>
          </w:p>
        </w:tc>
        <w:tc>
          <w:tcPr>
            <w:tcW w:w="1585" w:type="dxa"/>
          </w:tcPr>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before="120" w:line="32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成文信息</w:t>
            </w:r>
          </w:p>
          <w:p>
            <w:pPr>
              <w:rPr>
                <w:rFonts w:hint="eastAsia" w:asciiTheme="minorEastAsia" w:hAnsiTheme="minorEastAsia" w:eastAsiaTheme="minorEastAsia" w:cstheme="minorEastAsia"/>
                <w:color w:val="auto"/>
                <w:sz w:val="24"/>
                <w:szCs w:val="24"/>
              </w:rPr>
            </w:pPr>
          </w:p>
        </w:tc>
        <w:tc>
          <w:tcPr>
            <w:tcW w:w="960" w:type="dxa"/>
          </w:tcPr>
          <w:p>
            <w:pPr>
              <w:spacing w:before="120" w:line="340" w:lineRule="exac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Q7.5</w:t>
            </w:r>
            <w:r>
              <w:rPr>
                <w:rFonts w:hint="eastAsia" w:asciiTheme="minorEastAsia" w:hAnsiTheme="minorEastAsia" w:eastAsiaTheme="minorEastAsia" w:cstheme="minorEastAsia"/>
                <w:color w:val="auto"/>
                <w:sz w:val="24"/>
                <w:szCs w:val="24"/>
                <w:lang w:val="en-US" w:eastAsia="zh-CN"/>
              </w:rPr>
              <w:t>.1</w:t>
            </w:r>
          </w:p>
          <w:p>
            <w:pPr>
              <w:spacing w:before="120" w:line="340" w:lineRule="exact"/>
              <w:rPr>
                <w:rFonts w:hint="eastAsia" w:asciiTheme="minorEastAsia" w:hAnsiTheme="minorEastAsia" w:eastAsiaTheme="minorEastAsia" w:cstheme="minorEastAsia"/>
                <w:color w:val="auto"/>
                <w:sz w:val="24"/>
                <w:szCs w:val="24"/>
              </w:rPr>
            </w:pPr>
          </w:p>
        </w:tc>
        <w:tc>
          <w:tcPr>
            <w:tcW w:w="10004" w:type="dxa"/>
          </w:tcPr>
          <w:p>
            <w:pP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lang w:val="en-US" w:eastAsia="zh-CN"/>
              </w:rPr>
              <w:t>编制了《文件和记录控制程序》；程序规定了文件的编制、批准、发放、标识、修订、外来文件</w:t>
            </w:r>
            <w:r>
              <w:rPr>
                <w:rFonts w:hint="eastAsia" w:asciiTheme="minorEastAsia" w:hAnsiTheme="minorEastAsia" w:eastAsiaTheme="minorEastAsia" w:cstheme="minorEastAsia"/>
                <w:color w:val="auto"/>
                <w:sz w:val="24"/>
                <w:szCs w:val="24"/>
                <w:highlight w:val="none"/>
                <w:lang w:val="en-US" w:eastAsia="zh-CN"/>
              </w:rPr>
              <w:t>管理等做出了规定。内容完整，适宜。</w:t>
            </w:r>
          </w:p>
          <w:p>
            <w:pP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查质量管理手册                     LZ-QM-2019      A/0</w:t>
            </w:r>
          </w:p>
          <w:p>
            <w:pP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程序文件（18个程序）               LZ-CX-2019      A/0</w:t>
            </w:r>
          </w:p>
          <w:p>
            <w:pPr>
              <w:pStyle w:val="11"/>
              <w:spacing w:line="3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设备操作规程                       LZ-GF-2019-001  A</w:t>
            </w:r>
            <w:r>
              <w:rPr>
                <w:rFonts w:hint="eastAsia" w:asciiTheme="minorEastAsia" w:hAnsiTheme="minorEastAsia" w:eastAsiaTheme="minorEastAsia" w:cstheme="minorEastAsia"/>
                <w:color w:val="auto"/>
                <w:sz w:val="24"/>
                <w:szCs w:val="24"/>
                <w:highlight w:val="none"/>
              </w:rPr>
              <w:t>/0</w:t>
            </w:r>
          </w:p>
          <w:p>
            <w:pPr>
              <w:pStyle w:val="11"/>
              <w:spacing w:line="34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岗位任职需求                       LZ-GF-2019-07   A</w:t>
            </w:r>
            <w:r>
              <w:rPr>
                <w:rFonts w:hint="eastAsia" w:asciiTheme="minorEastAsia" w:hAnsiTheme="minorEastAsia" w:eastAsiaTheme="minorEastAsia" w:cstheme="minorEastAsia"/>
                <w:color w:val="auto"/>
                <w:sz w:val="24"/>
                <w:szCs w:val="24"/>
                <w:highlight w:val="none"/>
              </w:rPr>
              <w:t>/0</w:t>
            </w:r>
          </w:p>
          <w:p>
            <w:pPr>
              <w:pStyle w:val="11"/>
              <w:spacing w:line="3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工作环境管理(5S)细则               LZ-GF-2019-06   A</w:t>
            </w:r>
            <w:r>
              <w:rPr>
                <w:rFonts w:hint="eastAsia" w:asciiTheme="minorEastAsia" w:hAnsiTheme="minorEastAsia" w:eastAsiaTheme="minorEastAsia" w:cstheme="minorEastAsia"/>
                <w:color w:val="auto"/>
                <w:sz w:val="24"/>
                <w:szCs w:val="24"/>
                <w:highlight w:val="none"/>
              </w:rPr>
              <w:t>/0</w:t>
            </w:r>
          </w:p>
          <w:p>
            <w:pPr>
              <w:pStyle w:val="11"/>
              <w:spacing w:line="3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公司管理规定                       LZ-GF-2019-05   A</w:t>
            </w:r>
            <w:r>
              <w:rPr>
                <w:rFonts w:hint="eastAsia" w:asciiTheme="minorEastAsia" w:hAnsiTheme="minorEastAsia" w:eastAsiaTheme="minorEastAsia" w:cstheme="minorEastAsia"/>
                <w:color w:val="auto"/>
                <w:sz w:val="24"/>
                <w:szCs w:val="24"/>
                <w:highlight w:val="none"/>
              </w:rPr>
              <w:t>/0</w:t>
            </w:r>
          </w:p>
          <w:p>
            <w:pPr>
              <w:pStyle w:val="11"/>
              <w:spacing w:line="34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现场管理规定                       LZ-GF-2019-01   A</w:t>
            </w:r>
            <w:r>
              <w:rPr>
                <w:rFonts w:hint="eastAsia" w:asciiTheme="minorEastAsia" w:hAnsiTheme="minorEastAsia" w:eastAsiaTheme="minorEastAsia" w:cstheme="minorEastAsia"/>
                <w:color w:val="auto"/>
                <w:sz w:val="24"/>
                <w:szCs w:val="24"/>
                <w:highlight w:val="none"/>
              </w:rPr>
              <w:t>/0</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编制：综合部            审批：马连华</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文件标识清晰、易于识别、保持清晰。文件发布前均得到相关授权人员的批准，以确保文件的充分性与适宜性。</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本周期未有新增文件的发放及文件更改、作废。</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外来文件有清单</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抽查：外来文件有《外来文件清单》，主要为法律法规要求及标准：《中华人民共和国产品质量法》、《中华人民共和国合同法》、《中华人民共和国计量法》、《中华人民共和国标准化法》、YS/T616-2006《陶瓷过滤机 技术要求》等，均为电子版文件，可查阅，定期更新，文件管理符合要求。</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编制了《文件和记录控制程序》，对文件和记录的标识、贮存、保护、检索、留存和处置等内容做了规定。规定合理符合标准要求。</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记录由综合部归口管理，有记录表单。</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提供《记录清单》共有记录52个 ，本周期无变化。</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清单中有记录编号、名称、保存期限，保存部门综合部</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查：培训记录表        LZ/JL-013      长期    </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内审检查表            LZ/JL-024      长期  </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合格供方名录          LZ/JL-014      3年</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管理评审报告          LZ/JL-007      3年 </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公司要求记录的保存期限均为1年、3年或长期，记录标识为编号，存放保护：记录保存在文件柜或档案盒中，按照清单序号和文件编号检索，记录到期后由综合部进行销毁。</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再抽查其他记录7份，记录的填写清楚，按类别归档保存，记录的内容有一定的可追溯性，符合记录控制程序的规定。</w:t>
            </w:r>
          </w:p>
        </w:tc>
        <w:tc>
          <w:tcPr>
            <w:tcW w:w="1585" w:type="dxa"/>
          </w:tcPr>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before="120" w:line="32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产品和服务的设计开发</w:t>
            </w:r>
          </w:p>
        </w:tc>
        <w:tc>
          <w:tcPr>
            <w:tcW w:w="960" w:type="dxa"/>
          </w:tcPr>
          <w:p>
            <w:pPr>
              <w:spacing w:before="120" w:line="34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Q</w:t>
            </w:r>
            <w:r>
              <w:rPr>
                <w:rFonts w:hint="eastAsia" w:asciiTheme="minorEastAsia" w:hAnsiTheme="minorEastAsia" w:eastAsiaTheme="minorEastAsia" w:cstheme="minorEastAsia"/>
                <w:color w:val="auto"/>
                <w:sz w:val="24"/>
                <w:szCs w:val="24"/>
                <w:highlight w:val="none"/>
                <w:lang w:val="en-US" w:eastAsia="zh-CN"/>
              </w:rPr>
              <w:t>8.3</w:t>
            </w:r>
          </w:p>
          <w:p>
            <w:pPr>
              <w:spacing w:before="120" w:line="340" w:lineRule="exact"/>
              <w:rPr>
                <w:rFonts w:hint="eastAsia" w:asciiTheme="minorEastAsia" w:hAnsiTheme="minorEastAsia" w:eastAsiaTheme="minorEastAsia" w:cstheme="minorEastAsia"/>
                <w:color w:val="auto"/>
                <w:sz w:val="24"/>
                <w:szCs w:val="24"/>
                <w:highlight w:val="none"/>
              </w:rPr>
            </w:pPr>
          </w:p>
        </w:tc>
        <w:tc>
          <w:tcPr>
            <w:tcW w:w="10004" w:type="dxa"/>
          </w:tcPr>
          <w:p>
            <w:pPr>
              <w:pStyle w:val="11"/>
              <w:spacing w:line="34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2"/>
                <w:sz w:val="24"/>
                <w:szCs w:val="24"/>
                <w:lang w:val="en-US" w:eastAsia="zh-CN" w:bidi="ar-SA"/>
              </w:rPr>
              <w:t>按质量标准组织生产加工，不涉及产品设计开发。</w:t>
            </w:r>
          </w:p>
        </w:tc>
        <w:tc>
          <w:tcPr>
            <w:tcW w:w="1585" w:type="dxa"/>
          </w:tcPr>
          <w:p>
            <w:pP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3" w:hRule="atLeast"/>
        </w:trPr>
        <w:tc>
          <w:tcPr>
            <w:tcW w:w="2160" w:type="dxa"/>
          </w:tcPr>
          <w:p>
            <w:pPr>
              <w:spacing w:before="120" w:line="320" w:lineRule="exac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监视测量分析评价</w:t>
            </w:r>
          </w:p>
        </w:tc>
        <w:tc>
          <w:tcPr>
            <w:tcW w:w="960" w:type="dxa"/>
          </w:tcPr>
          <w:p>
            <w:pPr>
              <w:spacing w:before="120" w:line="340" w:lineRule="exac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Q</w:t>
            </w:r>
            <w:r>
              <w:rPr>
                <w:rFonts w:hint="eastAsia" w:asciiTheme="minorEastAsia" w:hAnsiTheme="minorEastAsia" w:eastAsiaTheme="minorEastAsia" w:cstheme="minorEastAsia"/>
                <w:color w:val="auto"/>
                <w:sz w:val="24"/>
                <w:szCs w:val="24"/>
                <w:lang w:val="en-US" w:eastAsia="zh-CN"/>
              </w:rPr>
              <w:t>9.1.1</w:t>
            </w:r>
          </w:p>
          <w:p>
            <w:pPr>
              <w:spacing w:before="120" w:line="340" w:lineRule="exac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Q</w:t>
            </w:r>
            <w:r>
              <w:rPr>
                <w:rFonts w:hint="eastAsia" w:asciiTheme="minorEastAsia" w:hAnsiTheme="minorEastAsia" w:eastAsiaTheme="minorEastAsia" w:cstheme="minorEastAsia"/>
                <w:color w:val="auto"/>
                <w:sz w:val="24"/>
                <w:szCs w:val="24"/>
                <w:lang w:val="en-US" w:eastAsia="zh-CN"/>
              </w:rPr>
              <w:t>9.1.3</w:t>
            </w:r>
          </w:p>
          <w:p>
            <w:pPr>
              <w:spacing w:before="120" w:line="340" w:lineRule="exact"/>
              <w:rPr>
                <w:rFonts w:hint="eastAsia" w:asciiTheme="minorEastAsia" w:hAnsiTheme="minorEastAsia" w:eastAsiaTheme="minorEastAsia" w:cstheme="minorEastAsia"/>
                <w:color w:val="auto"/>
                <w:sz w:val="24"/>
                <w:szCs w:val="24"/>
              </w:rPr>
            </w:pPr>
          </w:p>
        </w:tc>
        <w:tc>
          <w:tcPr>
            <w:tcW w:w="10004" w:type="dxa"/>
          </w:tcPr>
          <w:p>
            <w:pPr>
              <w:pStyle w:val="11"/>
              <w:spacing w:line="340" w:lineRule="exac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公司编辑了《监视和测量资源控制程序》、《监视、测量、分析和评价控制程序》、《内部审核程序》、《改进控制程序》、《风险和机遇控制程序》和《管理评审控制程序》等文件规定了</w:t>
            </w:r>
            <w:r>
              <w:rPr>
                <w:rFonts w:hint="eastAsia" w:asciiTheme="minorEastAsia" w:hAnsiTheme="minorEastAsia" w:eastAsiaTheme="minorEastAsia" w:cstheme="minorEastAsia"/>
                <w:color w:val="auto"/>
                <w:sz w:val="24"/>
                <w:szCs w:val="24"/>
              </w:rPr>
              <w:t>组织</w:t>
            </w:r>
            <w:r>
              <w:rPr>
                <w:rFonts w:hint="eastAsia" w:asciiTheme="minorEastAsia" w:hAnsiTheme="minorEastAsia" w:eastAsiaTheme="minorEastAsia" w:cstheme="minorEastAsia"/>
                <w:color w:val="auto"/>
                <w:sz w:val="24"/>
                <w:szCs w:val="24"/>
                <w:lang w:val="en-US" w:eastAsia="zh-CN"/>
              </w:rPr>
              <w:t>综合部</w:t>
            </w:r>
            <w:r>
              <w:rPr>
                <w:rFonts w:hint="eastAsia" w:asciiTheme="minorEastAsia" w:hAnsiTheme="minorEastAsia" w:eastAsiaTheme="minorEastAsia" w:cstheme="minorEastAsia"/>
                <w:color w:val="auto"/>
                <w:sz w:val="24"/>
                <w:szCs w:val="24"/>
              </w:rPr>
              <w:t>等部门针对产品、过程和管理体系符合性和持续改进体系有效性方面所需的监视、测量、分析和改进的方法、频次和记录进行安排并实施，包括适用的统计工具的应用，最终的目的是为了实现符合顾客和法规要求</w:t>
            </w:r>
            <w:r>
              <w:rPr>
                <w:rFonts w:hint="eastAsia" w:asciiTheme="minorEastAsia" w:hAnsiTheme="minorEastAsia" w:eastAsiaTheme="minorEastAsia" w:cstheme="minorEastAsia"/>
                <w:color w:val="auto"/>
                <w:sz w:val="24"/>
                <w:szCs w:val="24"/>
                <w:lang w:val="en-US" w:eastAsia="zh-CN"/>
              </w:rPr>
              <w:t>的产品</w:t>
            </w:r>
            <w:r>
              <w:rPr>
                <w:rFonts w:hint="eastAsia" w:asciiTheme="minorEastAsia" w:hAnsiTheme="minorEastAsia" w:eastAsiaTheme="minorEastAsia" w:cstheme="minorEastAsia"/>
                <w:color w:val="auto"/>
                <w:sz w:val="24"/>
                <w:szCs w:val="24"/>
              </w:rPr>
              <w:t>，确保管理体系持续有效运行</w:t>
            </w:r>
            <w:r>
              <w:rPr>
                <w:rFonts w:hint="eastAsia" w:asciiTheme="minorEastAsia" w:hAnsiTheme="minorEastAsia" w:eastAsiaTheme="minorEastAsia" w:cstheme="minorEastAsia"/>
                <w:color w:val="auto"/>
                <w:sz w:val="24"/>
                <w:szCs w:val="24"/>
                <w:lang w:val="en-US" w:eastAsia="zh-CN"/>
              </w:rPr>
              <w:t>。</w:t>
            </w:r>
          </w:p>
          <w:p>
            <w:pPr>
              <w:pStyle w:val="11"/>
              <w:spacing w:line="3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在供方业绩、生产过程控制、产品质量的符合性、顾客满意等方面采用统计表或调查表的形式进行数据统计和分析，以证实公司管理体系运行的有效性，以及寻找体系运行过程中存在的薄弱环节，为持续改进管理体系的有效性提供改进依据</w:t>
            </w:r>
          </w:p>
        </w:tc>
        <w:tc>
          <w:tcPr>
            <w:tcW w:w="1585" w:type="dxa"/>
          </w:tcPr>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0" w:hRule="atLeast"/>
        </w:trPr>
        <w:tc>
          <w:tcPr>
            <w:tcW w:w="2160" w:type="dxa"/>
          </w:tcPr>
          <w:p>
            <w:pPr>
              <w:spacing w:before="120" w:line="320" w:lineRule="exac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管理评审</w:t>
            </w:r>
          </w:p>
        </w:tc>
        <w:tc>
          <w:tcPr>
            <w:tcW w:w="960" w:type="dxa"/>
          </w:tcPr>
          <w:p>
            <w:pPr>
              <w:spacing w:before="120" w:line="340" w:lineRule="exac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Q9.</w:t>
            </w:r>
            <w:r>
              <w:rPr>
                <w:rFonts w:hint="eastAsia" w:asciiTheme="minorEastAsia" w:hAnsiTheme="minorEastAsia" w:eastAsiaTheme="minorEastAsia" w:cstheme="minorEastAsia"/>
                <w:color w:val="auto"/>
                <w:sz w:val="24"/>
                <w:szCs w:val="24"/>
                <w:lang w:val="en-US" w:eastAsia="zh-CN"/>
              </w:rPr>
              <w:t>3</w:t>
            </w:r>
          </w:p>
          <w:p>
            <w:pPr>
              <w:spacing w:before="120" w:line="340" w:lineRule="exact"/>
              <w:rPr>
                <w:rFonts w:hint="eastAsia" w:asciiTheme="minorEastAsia" w:hAnsiTheme="minorEastAsia" w:eastAsiaTheme="minorEastAsia" w:cstheme="minorEastAsia"/>
                <w:color w:val="auto"/>
                <w:sz w:val="24"/>
                <w:szCs w:val="24"/>
              </w:rPr>
            </w:pPr>
          </w:p>
        </w:tc>
        <w:tc>
          <w:tcPr>
            <w:tcW w:w="10004" w:type="dxa"/>
          </w:tcPr>
          <w:p>
            <w:pPr>
              <w:pStyle w:val="11"/>
              <w:spacing w:line="340" w:lineRule="exac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编制了&lt;管理评审控制程序&gt;</w:t>
            </w:r>
          </w:p>
          <w:p>
            <w:pPr>
              <w:pStyle w:val="11"/>
              <w:spacing w:line="340" w:lineRule="exac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查:&lt;管理评审计划&gt;</w:t>
            </w:r>
          </w:p>
          <w:p>
            <w:pPr>
              <w:pStyle w:val="11"/>
              <w:spacing w:line="340" w:lineRule="exact"/>
              <w:rPr>
                <w:rFonts w:hint="default"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经审批:马连华2020-12-22</w:t>
            </w:r>
          </w:p>
          <w:p>
            <w:pPr>
              <w:pStyle w:val="11"/>
              <w:spacing w:line="340" w:lineRule="exac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计划2020年12月30日进行一次管理评审活动.</w:t>
            </w:r>
          </w:p>
          <w:p>
            <w:pPr>
              <w:pStyle w:val="11"/>
              <w:spacing w:line="340" w:lineRule="exac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主持人:马连华</w:t>
            </w:r>
          </w:p>
          <w:p>
            <w:pPr>
              <w:pStyle w:val="11"/>
              <w:spacing w:line="340" w:lineRule="exac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参与评审人员:管理者代表马禄及各部门负责人</w:t>
            </w:r>
          </w:p>
          <w:p>
            <w:pPr>
              <w:pStyle w:val="11"/>
              <w:spacing w:line="340" w:lineRule="exac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评审内容:</w:t>
            </w:r>
          </w:p>
          <w:p>
            <w:pPr>
              <w:pStyle w:val="11"/>
              <w:spacing w:line="340" w:lineRule="exac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1、内部/外部审核情况；</w:t>
            </w:r>
          </w:p>
          <w:p>
            <w:pPr>
              <w:pStyle w:val="11"/>
              <w:spacing w:line="340" w:lineRule="exac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2、质量方针适宜性及质量目标达成情况；</w:t>
            </w:r>
          </w:p>
          <w:p>
            <w:pPr>
              <w:pStyle w:val="11"/>
              <w:spacing w:line="340" w:lineRule="exac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3、顾客投诉及处理、客户满意度调查情况；</w:t>
            </w:r>
          </w:p>
          <w:p>
            <w:pPr>
              <w:pStyle w:val="11"/>
              <w:spacing w:line="340" w:lineRule="exac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4、产品质量状况及过程业绩；</w:t>
            </w:r>
          </w:p>
          <w:p>
            <w:pPr>
              <w:pStyle w:val="11"/>
              <w:spacing w:line="340" w:lineRule="exac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5、预防及纠正措施实施情况及效果性；</w:t>
            </w:r>
          </w:p>
          <w:p>
            <w:pPr>
              <w:pStyle w:val="11"/>
              <w:spacing w:line="340" w:lineRule="exac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6、以往管理评审的跟踪措施；</w:t>
            </w:r>
          </w:p>
          <w:p>
            <w:pPr>
              <w:pStyle w:val="11"/>
              <w:spacing w:line="340" w:lineRule="exac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7、体系的变更及改进的建议等。</w:t>
            </w:r>
          </w:p>
          <w:p>
            <w:pPr>
              <w:pStyle w:val="11"/>
              <w:spacing w:line="340" w:lineRule="exac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8、资源的充分性。</w:t>
            </w:r>
          </w:p>
          <w:p>
            <w:pPr>
              <w:pStyle w:val="11"/>
              <w:spacing w:line="340" w:lineRule="exac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9、风险和机遇措施的有效性。</w:t>
            </w:r>
          </w:p>
          <w:p>
            <w:pPr>
              <w:pStyle w:val="11"/>
              <w:spacing w:line="340" w:lineRule="exac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10、企业内外部环境变化影响。</w:t>
            </w:r>
          </w:p>
          <w:p>
            <w:pPr>
              <w:pStyle w:val="11"/>
              <w:spacing w:line="340" w:lineRule="exac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查：《管理评审会议记录》，记录较为简单，符合计划的安排，基本符合标准条款要求。</w:t>
            </w:r>
          </w:p>
          <w:p>
            <w:pPr>
              <w:pStyle w:val="11"/>
              <w:spacing w:line="340" w:lineRule="exac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查见：管理评审会议记录及有各部门的管理体系总结报告；</w:t>
            </w:r>
          </w:p>
          <w:p>
            <w:pPr>
              <w:pStyle w:val="11"/>
              <w:spacing w:line="340" w:lineRule="exact"/>
              <w:rPr>
                <w:rFonts w:hint="default"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查见：《管理评审报告》，批准：马连华2020-12-30</w:t>
            </w:r>
          </w:p>
          <w:p>
            <w:pPr>
              <w:pStyle w:val="11"/>
              <w:spacing w:line="340" w:lineRule="exac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管评结论：</w:t>
            </w:r>
          </w:p>
          <w:p>
            <w:pPr>
              <w:pStyle w:val="11"/>
              <w:spacing w:line="340" w:lineRule="exac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经评审，与会人员一致认为本公司制定的质量方针、目标和建立实施的质量管理体系基本符合标准的要求，符合企业的实际情况，目前配置的资源能够满足需求，本公司适用的质量法律法规得到了遵守，本公司的质量方针、目标和管理体系目前仍是适宜、充分和有效的。</w:t>
            </w:r>
          </w:p>
          <w:p>
            <w:pPr>
              <w:pStyle w:val="11"/>
              <w:spacing w:line="340" w:lineRule="exact"/>
              <w:rPr>
                <w:rFonts w:hint="eastAsia" w:asciiTheme="minorEastAsia" w:hAnsiTheme="minorEastAsia" w:eastAsiaTheme="minorEastAsia" w:cstheme="minorEastAsia"/>
                <w:color w:val="auto"/>
                <w:kern w:val="2"/>
                <w:sz w:val="24"/>
                <w:szCs w:val="24"/>
                <w:lang w:val="en-US" w:eastAsia="zh-CN" w:bidi="ar-SA"/>
              </w:rPr>
            </w:pPr>
          </w:p>
          <w:p>
            <w:pPr>
              <w:pStyle w:val="11"/>
              <w:spacing w:line="340" w:lineRule="exac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查管理评审持续改进计划：</w:t>
            </w:r>
          </w:p>
          <w:p>
            <w:pPr>
              <w:pStyle w:val="11"/>
              <w:spacing w:line="3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lang w:val="en-US" w:eastAsia="zh-CN" w:bidi="ar-SA"/>
              </w:rPr>
              <w:t>①车间5S现场需加强管理</w:t>
            </w:r>
            <w:bookmarkStart w:id="1" w:name="_GoBack"/>
            <w:bookmarkEnd w:id="1"/>
          </w:p>
        </w:tc>
        <w:tc>
          <w:tcPr>
            <w:tcW w:w="1585" w:type="dxa"/>
          </w:tcPr>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2160" w:type="dxa"/>
          </w:tcPr>
          <w:p>
            <w:pPr>
              <w:spacing w:before="120" w:line="320" w:lineRule="exac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改进</w:t>
            </w:r>
          </w:p>
        </w:tc>
        <w:tc>
          <w:tcPr>
            <w:tcW w:w="960" w:type="dxa"/>
          </w:tcPr>
          <w:p>
            <w:pPr>
              <w:spacing w:before="120" w:line="340" w:lineRule="exac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Q10.1</w:t>
            </w:r>
          </w:p>
          <w:p>
            <w:pPr>
              <w:spacing w:before="120" w:line="340" w:lineRule="exac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Q10.3</w:t>
            </w:r>
          </w:p>
        </w:tc>
        <w:tc>
          <w:tcPr>
            <w:tcW w:w="10004" w:type="dxa"/>
          </w:tcPr>
          <w:p>
            <w:pPr>
              <w:pStyle w:val="11"/>
              <w:spacing w:line="3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lang w:val="en-US" w:eastAsia="zh-CN" w:bidi="ar-SA"/>
              </w:rPr>
              <w:t>主要通过内审和管理评审活动的开展，查找公司管理体系运行过程中存在的薄弱环节，制定纠正和预防措施，以实现持续改进管理体系运行的有效性。详见办公室相关审核记录。</w:t>
            </w:r>
          </w:p>
        </w:tc>
        <w:tc>
          <w:tcPr>
            <w:tcW w:w="1585" w:type="dxa"/>
          </w:tcPr>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符合</w:t>
            </w:r>
          </w:p>
        </w:tc>
      </w:tr>
    </w:tbl>
    <w:p>
      <w:pPr>
        <w:rPr>
          <w:sz w:val="24"/>
        </w:rPr>
      </w:pPr>
      <w:r>
        <w:rPr>
          <w:sz w:val="24"/>
        </w:rPr>
        <w:ptab w:relativeTo="margin" w:alignment="center" w:leader="none"/>
      </w:r>
    </w:p>
    <w:p>
      <w:pPr>
        <w:pStyle w:val="3"/>
        <w:rPr>
          <w:sz w:val="24"/>
          <w:szCs w:val="24"/>
        </w:rPr>
      </w:pPr>
      <w:r>
        <w:rPr>
          <w:rFonts w:hint="eastAsia"/>
          <w:sz w:val="24"/>
          <w:szCs w:val="24"/>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0"/>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1"/>
      </w:pBdr>
      <w:spacing w:line="320" w:lineRule="exact"/>
      <w:jc w:val="left"/>
    </w:pPr>
    <w:r>
      <mc:AlternateContent>
        <mc:Choice Requires="wps">
          <w:drawing>
            <wp:anchor distT="0" distB="0" distL="114300" distR="114300" simplePos="0" relativeHeight="251660288" behindDoc="0" locked="0" layoutInCell="1" allowOverlap="1">
              <wp:simplePos x="0" y="0"/>
              <wp:positionH relativeFrom="column">
                <wp:posOffset>7045325</wp:posOffset>
              </wp:positionH>
              <wp:positionV relativeFrom="paragraph">
                <wp:posOffset>27940</wp:posOffset>
              </wp:positionV>
              <wp:extent cx="2184400" cy="256540"/>
              <wp:effectExtent l="0" t="0" r="0" b="0"/>
              <wp:wrapNone/>
              <wp:docPr id="2" name="文本框 1"/>
              <wp:cNvGraphicFramePr/>
              <a:graphic xmlns:a="http://schemas.openxmlformats.org/drawingml/2006/main">
                <a:graphicData uri="http://schemas.microsoft.com/office/word/2010/wordprocessingShape">
                  <wps:wsp>
                    <wps:cNvSpPr txBox="1"/>
                    <wps:spPr>
                      <a:xfrm>
                        <a:off x="0" y="0"/>
                        <a:ext cx="2184400" cy="256540"/>
                      </a:xfrm>
                      <a:prstGeom prst="rect">
                        <a:avLst/>
                      </a:prstGeom>
                      <a:solidFill>
                        <a:srgbClr val="FFFFFF"/>
                      </a:solidFill>
                      <a:ln w="9525">
                        <a:noFill/>
                      </a:ln>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w:t>
                          </w:r>
                          <w:r>
                            <w:rPr>
                              <w:sz w:val="18"/>
                              <w:szCs w:val="18"/>
                            </w:rPr>
                            <w:t>0</w:t>
                          </w:r>
                          <w:r>
                            <w:rPr>
                              <w:rFonts w:hint="eastAsia"/>
                              <w:sz w:val="18"/>
                              <w:szCs w:val="18"/>
                            </w:rPr>
                            <w:t>管理体系审核记录表(03版)</w:t>
                          </w:r>
                        </w:p>
                      </w:txbxContent>
                    </wps:txbx>
                    <wps:bodyPr upright="1"/>
                  </wps:wsp>
                </a:graphicData>
              </a:graphic>
            </wp:anchor>
          </w:drawing>
        </mc:Choice>
        <mc:Fallback>
          <w:pict>
            <v:shape id="文本框 1" o:spid="_x0000_s1026" o:spt="202" type="#_x0000_t202" style="position:absolute;left:0pt;margin-left:554.75pt;margin-top:2.2pt;height:20.2pt;width:172pt;z-index:251660288;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hBqrl1gAAAAoBAAAPAAAAAAAAAAEAIAAAACIAAABkcnMvZG93&#10;bnJldi54bWxQSwECFAAUAAAACACHTuJAK8WDsMkBAACAAwAADgAAAAAAAAABACAAAAAlAQAAZHJz&#10;L2Uyb0RvYy54bWxQSwUGAAAAAAYABgBZAQAAYAU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w:t>
                    </w:r>
                    <w:r>
                      <w:rPr>
                        <w:sz w:val="18"/>
                        <w:szCs w:val="18"/>
                      </w:rPr>
                      <w:t>0</w:t>
                    </w:r>
                    <w:r>
                      <w:rPr>
                        <w:rFonts w:hint="eastAsia"/>
                        <w:sz w:val="18"/>
                        <w:szCs w:val="18"/>
                      </w:rPr>
                      <w:t>管理体系审核记录表(03版)</w:t>
                    </w:r>
                  </w:p>
                </w:txbxContent>
              </v:textbox>
            </v:shape>
          </w:pict>
        </mc:Fallback>
      </mc:AlternateContent>
    </w:r>
    <w:r>
      <w:rPr>
        <w:rStyle w:val="10"/>
        <w:rFonts w:hint="default"/>
        <w:w w:val="90"/>
      </w:rPr>
      <w:t>Beijing International Standard united Certification Co.</w:t>
    </w:r>
    <w:r>
      <w:rPr>
        <w:rStyle w:val="10"/>
        <w:rFonts w:hint="eastAsia"/>
        <w:w w:val="90"/>
      </w:rPr>
      <w:t>，</w:t>
    </w:r>
    <w:r>
      <w:rPr>
        <w:rStyle w:val="10"/>
        <w:rFonts w:hint="default"/>
        <w:w w:val="90"/>
      </w:rPr>
      <w:t>Ltd.</w:t>
    </w:r>
  </w:p>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C80ED0"/>
    <w:multiLevelType w:val="multilevel"/>
    <w:tmpl w:val="38C80ED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3B4"/>
    <w:rsid w:val="000237F6"/>
    <w:rsid w:val="0003373A"/>
    <w:rsid w:val="000400E2"/>
    <w:rsid w:val="00062E46"/>
    <w:rsid w:val="00086192"/>
    <w:rsid w:val="000E6B21"/>
    <w:rsid w:val="000F0739"/>
    <w:rsid w:val="00110D78"/>
    <w:rsid w:val="00134769"/>
    <w:rsid w:val="0014219D"/>
    <w:rsid w:val="00145390"/>
    <w:rsid w:val="001A2D7F"/>
    <w:rsid w:val="001C064E"/>
    <w:rsid w:val="00213048"/>
    <w:rsid w:val="00216FAE"/>
    <w:rsid w:val="00241429"/>
    <w:rsid w:val="00275841"/>
    <w:rsid w:val="002939AD"/>
    <w:rsid w:val="002D658A"/>
    <w:rsid w:val="00314AF6"/>
    <w:rsid w:val="003264E6"/>
    <w:rsid w:val="00332648"/>
    <w:rsid w:val="00337922"/>
    <w:rsid w:val="00340867"/>
    <w:rsid w:val="003419A0"/>
    <w:rsid w:val="00380837"/>
    <w:rsid w:val="003A198A"/>
    <w:rsid w:val="003F62FC"/>
    <w:rsid w:val="00410914"/>
    <w:rsid w:val="004372CC"/>
    <w:rsid w:val="004A5B51"/>
    <w:rsid w:val="004A7746"/>
    <w:rsid w:val="004F580A"/>
    <w:rsid w:val="00522E08"/>
    <w:rsid w:val="00536930"/>
    <w:rsid w:val="00547011"/>
    <w:rsid w:val="005612C3"/>
    <w:rsid w:val="00564E53"/>
    <w:rsid w:val="005A7A5B"/>
    <w:rsid w:val="005B6089"/>
    <w:rsid w:val="005C1F70"/>
    <w:rsid w:val="005D5659"/>
    <w:rsid w:val="00600C20"/>
    <w:rsid w:val="00610808"/>
    <w:rsid w:val="00644FE2"/>
    <w:rsid w:val="0067640C"/>
    <w:rsid w:val="006E678B"/>
    <w:rsid w:val="006F23CB"/>
    <w:rsid w:val="0073408C"/>
    <w:rsid w:val="00736774"/>
    <w:rsid w:val="007757F3"/>
    <w:rsid w:val="007966C2"/>
    <w:rsid w:val="007C1B48"/>
    <w:rsid w:val="007E6AEB"/>
    <w:rsid w:val="00810E34"/>
    <w:rsid w:val="008970E9"/>
    <w:rsid w:val="008973EE"/>
    <w:rsid w:val="00897C3D"/>
    <w:rsid w:val="008B42A7"/>
    <w:rsid w:val="008C32D0"/>
    <w:rsid w:val="008D426A"/>
    <w:rsid w:val="009077E2"/>
    <w:rsid w:val="00932836"/>
    <w:rsid w:val="009610A6"/>
    <w:rsid w:val="00971600"/>
    <w:rsid w:val="00974EC4"/>
    <w:rsid w:val="009973B4"/>
    <w:rsid w:val="009C28C1"/>
    <w:rsid w:val="009F7EED"/>
    <w:rsid w:val="00A63327"/>
    <w:rsid w:val="00A80636"/>
    <w:rsid w:val="00AA1242"/>
    <w:rsid w:val="00AF0AAB"/>
    <w:rsid w:val="00B07A39"/>
    <w:rsid w:val="00B40E22"/>
    <w:rsid w:val="00B867D6"/>
    <w:rsid w:val="00BC355D"/>
    <w:rsid w:val="00BC3814"/>
    <w:rsid w:val="00BF597E"/>
    <w:rsid w:val="00C10626"/>
    <w:rsid w:val="00C27328"/>
    <w:rsid w:val="00C448DC"/>
    <w:rsid w:val="00C5030D"/>
    <w:rsid w:val="00C51A36"/>
    <w:rsid w:val="00C55228"/>
    <w:rsid w:val="00C63768"/>
    <w:rsid w:val="00C805F8"/>
    <w:rsid w:val="00CE315A"/>
    <w:rsid w:val="00D06F59"/>
    <w:rsid w:val="00D64638"/>
    <w:rsid w:val="00D8388C"/>
    <w:rsid w:val="00DC4FDD"/>
    <w:rsid w:val="00DD5226"/>
    <w:rsid w:val="00E41E00"/>
    <w:rsid w:val="00E6224C"/>
    <w:rsid w:val="00EB0164"/>
    <w:rsid w:val="00EB3181"/>
    <w:rsid w:val="00ED0F62"/>
    <w:rsid w:val="00ED3274"/>
    <w:rsid w:val="00F02AA1"/>
    <w:rsid w:val="00F5570C"/>
    <w:rsid w:val="00FA06E0"/>
    <w:rsid w:val="00FA4D8D"/>
    <w:rsid w:val="00FE13B9"/>
    <w:rsid w:val="029D0F9F"/>
    <w:rsid w:val="04A316E9"/>
    <w:rsid w:val="0AAD57F6"/>
    <w:rsid w:val="0D6921B6"/>
    <w:rsid w:val="108219C2"/>
    <w:rsid w:val="13316F42"/>
    <w:rsid w:val="136D5F74"/>
    <w:rsid w:val="1466594F"/>
    <w:rsid w:val="1479558F"/>
    <w:rsid w:val="171202C0"/>
    <w:rsid w:val="199C6251"/>
    <w:rsid w:val="1B761B57"/>
    <w:rsid w:val="20B61E59"/>
    <w:rsid w:val="21CA7E5A"/>
    <w:rsid w:val="22D43153"/>
    <w:rsid w:val="235060A2"/>
    <w:rsid w:val="23754610"/>
    <w:rsid w:val="25627536"/>
    <w:rsid w:val="26C7029B"/>
    <w:rsid w:val="27AF1101"/>
    <w:rsid w:val="2C1F00A3"/>
    <w:rsid w:val="2D275476"/>
    <w:rsid w:val="2DC56E0B"/>
    <w:rsid w:val="2E7E5472"/>
    <w:rsid w:val="2ECE5374"/>
    <w:rsid w:val="303A75EE"/>
    <w:rsid w:val="32AB23FC"/>
    <w:rsid w:val="385C0D26"/>
    <w:rsid w:val="39FF5483"/>
    <w:rsid w:val="3A877FB2"/>
    <w:rsid w:val="3C542775"/>
    <w:rsid w:val="3CC21E85"/>
    <w:rsid w:val="3D423A1B"/>
    <w:rsid w:val="3F425528"/>
    <w:rsid w:val="40DB119C"/>
    <w:rsid w:val="41321642"/>
    <w:rsid w:val="431F30D5"/>
    <w:rsid w:val="450C632E"/>
    <w:rsid w:val="45361A48"/>
    <w:rsid w:val="478110DC"/>
    <w:rsid w:val="48266871"/>
    <w:rsid w:val="487C2BF9"/>
    <w:rsid w:val="4C3C6983"/>
    <w:rsid w:val="4E810593"/>
    <w:rsid w:val="4EC61464"/>
    <w:rsid w:val="55213ADD"/>
    <w:rsid w:val="55987003"/>
    <w:rsid w:val="5615585B"/>
    <w:rsid w:val="574F12E5"/>
    <w:rsid w:val="58F8383B"/>
    <w:rsid w:val="5A8127D1"/>
    <w:rsid w:val="5AC01DEB"/>
    <w:rsid w:val="5DA62B31"/>
    <w:rsid w:val="5EA12B9A"/>
    <w:rsid w:val="5FEB3E7C"/>
    <w:rsid w:val="60013AEF"/>
    <w:rsid w:val="60377675"/>
    <w:rsid w:val="66F665E9"/>
    <w:rsid w:val="672B1FDE"/>
    <w:rsid w:val="68AD4C66"/>
    <w:rsid w:val="6954612D"/>
    <w:rsid w:val="6EFE43E4"/>
    <w:rsid w:val="71D618CF"/>
    <w:rsid w:val="74526611"/>
    <w:rsid w:val="74CE35AA"/>
    <w:rsid w:val="74E6378E"/>
    <w:rsid w:val="757D7F2E"/>
    <w:rsid w:val="77070AE5"/>
    <w:rsid w:val="781A5CDF"/>
    <w:rsid w:val="78544072"/>
    <w:rsid w:val="799D6057"/>
    <w:rsid w:val="79AC0D32"/>
    <w:rsid w:val="79C8080F"/>
    <w:rsid w:val="7C4F722B"/>
    <w:rsid w:val="7F4D0BC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rFonts w:ascii="Times New Roman" w:hAnsi="Times New Roman" w:eastAsia="宋体" w:cs="Times New Roman"/>
      <w:sz w:val="18"/>
      <w:szCs w:val="18"/>
    </w:rPr>
  </w:style>
  <w:style w:type="character" w:customStyle="1" w:styleId="8">
    <w:name w:val="页脚 字符"/>
    <w:basedOn w:val="6"/>
    <w:link w:val="3"/>
    <w:qFormat/>
    <w:uiPriority w:val="99"/>
    <w:rPr>
      <w:rFonts w:ascii="Times New Roman" w:hAnsi="Times New Roman" w:eastAsia="宋体" w:cs="Times New Roman"/>
      <w:sz w:val="18"/>
      <w:szCs w:val="18"/>
    </w:rPr>
  </w:style>
  <w:style w:type="character" w:customStyle="1" w:styleId="9">
    <w:name w:val="批注框文本 字符"/>
    <w:basedOn w:val="6"/>
    <w:link w:val="2"/>
    <w:semiHidden/>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 w:type="paragraph" w:styleId="11">
    <w:name w:val="No Spacing"/>
    <w:qFormat/>
    <w:uiPriority w:val="0"/>
    <w:pPr>
      <w:widowControl w:val="0"/>
      <w:adjustRightInd w:val="0"/>
      <w:jc w:val="both"/>
      <w:textAlignment w:val="baseline"/>
    </w:pPr>
    <w:rPr>
      <w:rFonts w:ascii="Times New Roman" w:hAnsi="Times New Roman" w:eastAsia="宋体" w:cs="Times New Roman"/>
      <w:kern w:val="2"/>
      <w:sz w:val="21"/>
      <w:szCs w:val="24"/>
      <w:lang w:val="en-US" w:eastAsia="zh-CN" w:bidi="ar-SA"/>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470</Words>
  <Characters>2684</Characters>
  <Lines>22</Lines>
  <Paragraphs>6</Paragraphs>
  <TotalTime>0</TotalTime>
  <ScaleCrop>false</ScaleCrop>
  <LinksUpToDate>false</LinksUpToDate>
  <CharactersWithSpaces>3148</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lenovo</cp:lastModifiedBy>
  <dcterms:modified xsi:type="dcterms:W3CDTF">2021-07-01T00:16:28Z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B89B20CB0AB243CFB4D4756E22EBF8CC</vt:lpwstr>
  </property>
</Properties>
</file>