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120" w:afterLines="5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r>
        <w:rPr>
          <w:rFonts w:hint="eastAsia"/>
        </w:rPr>
        <w:sym w:font="Wingdings" w:char="00A8"/>
      </w:r>
      <w:r>
        <w:rPr>
          <w:rFonts w:hint="eastAsia"/>
          <w:b/>
          <w:sz w:val="22"/>
          <w:szCs w:val="22"/>
        </w:rPr>
        <w:t xml:space="preserve">EMS  </w:t>
      </w:r>
      <w:bookmarkStart w:id="1" w:name="S勾选"/>
      <w:r>
        <w:rPr>
          <w:rFonts w:hint="eastAsia"/>
          <w:b/>
          <w:sz w:val="22"/>
          <w:szCs w:val="22"/>
        </w:rPr>
        <w:t>■</w:t>
      </w:r>
      <w:bookmarkEnd w:id="1"/>
      <w:r>
        <w:rPr>
          <w:rFonts w:hint="eastAsia"/>
          <w:b/>
          <w:sz w:val="22"/>
          <w:szCs w:val="22"/>
        </w:rPr>
        <w:t xml:space="preserve">OHSMS </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bookmarkStart w:id="2" w:name="组织名称"/>
            <w:r>
              <w:rPr>
                <w:b/>
                <w:sz w:val="20"/>
              </w:rPr>
              <w:t>滁州市智宏工程咨询有限责任公司</w:t>
            </w:r>
            <w:bookmarkEnd w:id="2"/>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bookmarkStart w:id="3" w:name="专业代码"/>
            <w:r>
              <w:rPr>
                <w:b/>
                <w:sz w:val="20"/>
              </w:rPr>
              <w:t>Q：34.01.02</w:t>
            </w:r>
          </w:p>
          <w:p>
            <w:pPr>
              <w:snapToGrid w:val="0"/>
              <w:spacing w:line="280" w:lineRule="exact"/>
              <w:ind w:left="52"/>
              <w:jc w:val="center"/>
              <w:rPr>
                <w:b/>
                <w:sz w:val="20"/>
              </w:rPr>
            </w:pPr>
            <w:r>
              <w:rPr>
                <w:b/>
                <w:sz w:val="20"/>
              </w:rPr>
              <w:t>O：34.01.02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朱恒</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张磊</w:t>
            </w:r>
          </w:p>
        </w:tc>
        <w:tc>
          <w:tcPr>
            <w:tcW w:w="150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胡益民</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center"/>
              <w:rPr>
                <w:b/>
                <w:sz w:val="20"/>
              </w:rPr>
            </w:pPr>
            <w:r>
              <w:rPr>
                <w:rFonts w:hint="eastAsia"/>
                <w:b/>
                <w:sz w:val="20"/>
                <w:lang w:val="en-US" w:eastAsia="zh-CN"/>
              </w:rPr>
              <w:t>项目设计和开发任务书—设计输入资料评审—设计进度计划表—专业互提、协作计划表—设计评审、图纸审查计划表—各专业设计输出评审—设计交底会—顾客满意度调查</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napToGrid w:val="0"/>
              <w:spacing w:line="280" w:lineRule="exact"/>
              <w:jc w:val="center"/>
              <w:rPr>
                <w:b/>
                <w:sz w:val="20"/>
              </w:rPr>
            </w:pPr>
            <w:r>
              <w:rPr>
                <w:rFonts w:hint="eastAsia"/>
                <w:color w:val="auto"/>
                <w:szCs w:val="22"/>
                <w:lang w:val="en-US" w:eastAsia="zh-CN"/>
              </w:rPr>
              <w:t xml:space="preserve">关键过程为：设计开发 </w:t>
            </w:r>
            <w:r>
              <w:rPr>
                <w:rFonts w:hint="eastAsia"/>
                <w:color w:val="auto"/>
                <w:lang w:val="en-US" w:eastAsia="zh-CN"/>
              </w:rPr>
              <w:t>制定《作业指导书》、《操作规程》，提供《设计开发记录》对研发过程进行过程监控，结束后对成品进行评审，客户评审合格后进行验收。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285"/>
              <w:gridCol w:w="5368"/>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rFonts w:ascii="宋体" w:hAnsi="宋体"/>
                      <w:color w:val="auto"/>
                      <w:szCs w:val="24"/>
                    </w:rPr>
                  </w:pPr>
                  <w:r>
                    <w:rPr>
                      <w:rFonts w:hint="eastAsia"/>
                      <w:color w:val="auto"/>
                    </w:rPr>
                    <w:t>主要危险源</w:t>
                  </w:r>
                </w:p>
              </w:tc>
              <w:tc>
                <w:tcPr>
                  <w:tcW w:w="0" w:type="auto"/>
                  <w:shd w:val="clear" w:color="auto" w:fill="auto"/>
                  <w:vAlign w:val="center"/>
                </w:tcPr>
                <w:p>
                  <w:pPr>
                    <w:jc w:val="center"/>
                    <w:rPr>
                      <w:rFonts w:ascii="宋体" w:hAnsi="宋体"/>
                      <w:color w:val="auto"/>
                      <w:szCs w:val="24"/>
                    </w:rPr>
                  </w:pPr>
                  <w:r>
                    <w:rPr>
                      <w:rFonts w:hint="eastAsia" w:ascii="宋体" w:hAnsi="宋体"/>
                      <w:color w:val="auto"/>
                      <w:szCs w:val="24"/>
                    </w:rPr>
                    <w:t>状态</w:t>
                  </w:r>
                </w:p>
              </w:tc>
              <w:tc>
                <w:tcPr>
                  <w:tcW w:w="0" w:type="auto"/>
                  <w:shd w:val="clear" w:color="auto" w:fill="auto"/>
                  <w:vAlign w:val="center"/>
                </w:tcPr>
                <w:p>
                  <w:pPr>
                    <w:jc w:val="center"/>
                    <w:rPr>
                      <w:rFonts w:ascii="宋体" w:hAnsi="宋体"/>
                      <w:color w:val="auto"/>
                      <w:szCs w:val="24"/>
                    </w:rPr>
                  </w:pPr>
                  <w:r>
                    <w:rPr>
                      <w:rFonts w:hint="eastAsia"/>
                      <w:color w:val="auto"/>
                    </w:rPr>
                    <w:t>控制措施</w:t>
                  </w:r>
                </w:p>
              </w:tc>
              <w:tc>
                <w:tcPr>
                  <w:tcW w:w="0" w:type="auto"/>
                  <w:shd w:val="clear" w:color="auto" w:fill="auto"/>
                  <w:vAlign w:val="center"/>
                </w:tcPr>
                <w:p>
                  <w:pPr>
                    <w:jc w:val="center"/>
                    <w:rPr>
                      <w:rFonts w:ascii="宋体" w:hAnsi="宋体"/>
                      <w:color w:val="auto"/>
                      <w:szCs w:val="24"/>
                    </w:rPr>
                  </w:pPr>
                  <w:r>
                    <w:rPr>
                      <w:rFonts w:hint="eastAsia" w:ascii="宋体" w:hAnsi="宋体"/>
                      <w:color w:val="auto"/>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rPr>
                      <w:color w:val="auto"/>
                    </w:rPr>
                  </w:pPr>
                  <w:r>
                    <w:rPr>
                      <w:rFonts w:hint="eastAsia"/>
                      <w:color w:val="auto"/>
                      <w:szCs w:val="24"/>
                    </w:rPr>
                    <w:t>火灾</w:t>
                  </w:r>
                </w:p>
              </w:tc>
              <w:tc>
                <w:tcPr>
                  <w:tcW w:w="0" w:type="auto"/>
                  <w:shd w:val="clear" w:color="auto" w:fill="auto"/>
                  <w:vAlign w:val="center"/>
                </w:tcPr>
                <w:p>
                  <w:pPr>
                    <w:rPr>
                      <w:color w:val="auto"/>
                      <w:szCs w:val="24"/>
                      <w:lang w:val="en-GB"/>
                    </w:rPr>
                  </w:pPr>
                  <w:r>
                    <w:rPr>
                      <w:color w:val="auto"/>
                    </w:rPr>
                    <w:sym w:font="Wingdings" w:char="00A8"/>
                  </w:r>
                  <w:r>
                    <w:rPr>
                      <w:rFonts w:hint="eastAsia"/>
                      <w:color w:val="auto"/>
                    </w:rPr>
                    <w:t xml:space="preserve">正常 </w:t>
                  </w:r>
                  <w:r>
                    <w:rPr>
                      <w:color w:val="auto"/>
                    </w:rPr>
                    <w:sym w:font="Wingdings" w:char="00FE"/>
                  </w:r>
                  <w:r>
                    <w:rPr>
                      <w:rFonts w:hint="eastAsia"/>
                      <w:color w:val="auto"/>
                    </w:rPr>
                    <w:t xml:space="preserve">异常 </w:t>
                  </w:r>
                  <w:r>
                    <w:rPr>
                      <w:color w:val="auto"/>
                    </w:rPr>
                    <w:sym w:font="Wingdings" w:char="00FE"/>
                  </w:r>
                  <w:r>
                    <w:rPr>
                      <w:rFonts w:hint="eastAsia"/>
                      <w:color w:val="auto"/>
                    </w:rPr>
                    <w:t xml:space="preserve">紧急   </w:t>
                  </w:r>
                </w:p>
              </w:tc>
              <w:tc>
                <w:tcPr>
                  <w:tcW w:w="0" w:type="auto"/>
                  <w:shd w:val="clear" w:color="auto" w:fill="auto"/>
                  <w:vAlign w:val="center"/>
                </w:tcPr>
                <w:p>
                  <w:pPr>
                    <w:rPr>
                      <w:color w:val="auto"/>
                      <w:szCs w:val="24"/>
                    </w:rPr>
                  </w:pPr>
                  <w:r>
                    <w:rPr>
                      <w:rFonts w:hint="eastAsia"/>
                      <w:color w:val="auto"/>
                      <w:szCs w:val="24"/>
                    </w:rPr>
                    <w:t>日常检查供电线路是否老化，安全用电，工作场所禁止火种，加强人员培训，做好消防应急演练</w:t>
                  </w:r>
                  <w:r>
                    <w:rPr>
                      <w:rFonts w:hint="eastAsia"/>
                      <w:color w:val="auto"/>
                      <w:szCs w:val="24"/>
                      <w:lang w:eastAsia="zh-CN"/>
                    </w:rPr>
                    <w:t>，</w:t>
                  </w:r>
                  <w:r>
                    <w:rPr>
                      <w:rFonts w:hint="eastAsia"/>
                      <w:color w:val="auto"/>
                      <w:szCs w:val="24"/>
                    </w:rPr>
                    <w:t>日常检查供电线路是否老化，安全用电，</w:t>
                  </w:r>
                </w:p>
              </w:tc>
              <w:tc>
                <w:tcPr>
                  <w:tcW w:w="0" w:type="auto"/>
                  <w:shd w:val="clear" w:color="auto" w:fill="auto"/>
                  <w:vAlign w:val="center"/>
                </w:tcPr>
                <w:p>
                  <w:pPr>
                    <w:rPr>
                      <w:rFonts w:ascii="宋体" w:hAnsi="宋体"/>
                      <w:color w:val="auto"/>
                      <w:lang w:val="en-GB"/>
                    </w:rPr>
                  </w:pPr>
                  <w:r>
                    <w:rPr>
                      <w:rFonts w:hint="eastAsia" w:ascii="宋体" w:hAnsi="宋体"/>
                      <w:color w:val="auto"/>
                      <w:lang w:val="en-GB"/>
                    </w:rPr>
                    <w:t>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rPr>
                    <w:t>交通事故</w:t>
                  </w:r>
                </w:p>
              </w:tc>
              <w:tc>
                <w:tcPr>
                  <w:tcW w:w="0" w:type="auto"/>
                  <w:shd w:val="clear" w:color="auto" w:fill="auto"/>
                  <w:vAlign w:val="center"/>
                </w:tcPr>
                <w:p>
                  <w:pPr>
                    <w:rPr>
                      <w:rFonts w:ascii="Times New Roman" w:hAnsi="Times New Roman" w:eastAsia="宋体" w:cs="Times New Roman"/>
                      <w:color w:val="auto"/>
                      <w:kern w:val="2"/>
                      <w:sz w:val="21"/>
                      <w:szCs w:val="24"/>
                      <w:lang w:val="en-US" w:eastAsia="zh-CN" w:bidi="ar-SA"/>
                    </w:rPr>
                  </w:pPr>
                  <w:r>
                    <w:rPr>
                      <w:color w:val="auto"/>
                    </w:rPr>
                    <w:sym w:font="Wingdings" w:char="00A8"/>
                  </w:r>
                  <w:r>
                    <w:rPr>
                      <w:rFonts w:hint="eastAsia"/>
                      <w:color w:val="auto"/>
                    </w:rPr>
                    <w:t xml:space="preserve">正常 </w:t>
                  </w:r>
                  <w:r>
                    <w:rPr>
                      <w:color w:val="auto"/>
                    </w:rPr>
                    <w:sym w:font="Wingdings" w:char="00FE"/>
                  </w:r>
                  <w:r>
                    <w:rPr>
                      <w:rFonts w:hint="eastAsia"/>
                      <w:color w:val="auto"/>
                    </w:rPr>
                    <w:t xml:space="preserve">异常 </w:t>
                  </w:r>
                  <w:r>
                    <w:rPr>
                      <w:color w:val="auto"/>
                    </w:rPr>
                    <w:sym w:font="Wingdings" w:char="00FE"/>
                  </w:r>
                  <w:r>
                    <w:rPr>
                      <w:rFonts w:hint="eastAsia"/>
                      <w:color w:val="auto"/>
                    </w:rPr>
                    <w:t xml:space="preserve">紧急   </w:t>
                  </w:r>
                </w:p>
              </w:tc>
              <w:tc>
                <w:tcPr>
                  <w:tcW w:w="0" w:type="auto"/>
                  <w:shd w:val="clear" w:color="auto" w:fill="auto"/>
                  <w:vAlign w:val="center"/>
                </w:tcPr>
                <w:p>
                  <w:pPr>
                    <w:rPr>
                      <w:rFonts w:hint="eastAsia"/>
                      <w:color w:val="auto"/>
                      <w:szCs w:val="24"/>
                    </w:rPr>
                  </w:pPr>
                  <w:r>
                    <w:rPr>
                      <w:rFonts w:hint="eastAsia"/>
                      <w:color w:val="auto"/>
                      <w:szCs w:val="24"/>
                    </w:rPr>
                    <w:t>管理方案/目标指标及管理措施方案</w:t>
                  </w:r>
                </w:p>
              </w:tc>
              <w:tc>
                <w:tcPr>
                  <w:tcW w:w="0" w:type="auto"/>
                  <w:shd w:val="clear" w:color="auto" w:fill="auto"/>
                  <w:vAlign w:val="center"/>
                </w:tcPr>
                <w:p>
                  <w:pPr>
                    <w:rPr>
                      <w:rFonts w:hint="eastAsia" w:ascii="宋体" w:hAnsi="宋体"/>
                      <w:color w:val="auto"/>
                      <w:lang w:val="en-GB"/>
                    </w:rPr>
                  </w:pPr>
                  <w:r>
                    <w:rPr>
                      <w:rFonts w:hint="eastAsia" w:ascii="宋体" w:hAnsi="宋体"/>
                      <w:color w:val="auto"/>
                      <w:lang w:val="en-GB"/>
                    </w:rPr>
                    <w:t>综合办公室</w:t>
                  </w:r>
                </w:p>
              </w:tc>
            </w:tr>
          </w:tbl>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rPr>
                <w:rFonts w:hint="eastAsia"/>
                <w:u w:val="single"/>
                <w:lang w:val="en-US" w:eastAsia="zh-CN"/>
              </w:rPr>
            </w:pPr>
            <w:r>
              <w:rPr>
                <w:rFonts w:hint="eastAsia"/>
                <w:u w:val="single"/>
              </w:rPr>
              <w:t xml:space="preserve"> </w:t>
            </w:r>
            <w:r>
              <w:rPr>
                <w:rFonts w:hint="eastAsia"/>
                <w:u w:val="single"/>
                <w:lang w:val="en-US" w:eastAsia="zh-CN"/>
              </w:rPr>
              <w:t>1、《国家电网公司输变电工程通用设计110(66)kV智能变电站模块化建设》</w:t>
            </w:r>
          </w:p>
          <w:p>
            <w:pPr>
              <w:rPr>
                <w:rFonts w:hint="eastAsia"/>
                <w:u w:val="single"/>
                <w:lang w:val="en-US" w:eastAsia="zh-CN"/>
              </w:rPr>
            </w:pPr>
            <w:r>
              <w:rPr>
                <w:rFonts w:hint="eastAsia"/>
                <w:u w:val="single"/>
                <w:lang w:val="en-US" w:eastAsia="zh-CN"/>
              </w:rPr>
              <w:t>2、《国家电网公司关于明确输变电工程“两型三新一化”建设技术要求的通知》</w:t>
            </w:r>
          </w:p>
          <w:p>
            <w:pPr>
              <w:rPr>
                <w:rFonts w:hint="eastAsia"/>
                <w:u w:val="single"/>
                <w:lang w:val="en-US" w:eastAsia="zh-CN"/>
              </w:rPr>
            </w:pPr>
            <w:r>
              <w:rPr>
                <w:rFonts w:hint="eastAsia"/>
                <w:u w:val="single"/>
                <w:lang w:val="en-US" w:eastAsia="zh-CN"/>
              </w:rPr>
              <w:t>家电网基建(2014)1131号)3、《3~110千伏高压配电装置设计规范》;</w:t>
            </w:r>
          </w:p>
          <w:p>
            <w:pPr>
              <w:rPr>
                <w:rFonts w:hint="eastAsia"/>
                <w:u w:val="single"/>
                <w:lang w:val="en-US" w:eastAsia="zh-CN"/>
              </w:rPr>
            </w:pPr>
            <w:r>
              <w:rPr>
                <w:rFonts w:hint="eastAsia"/>
                <w:u w:val="single"/>
                <w:lang w:val="en-US" w:eastAsia="zh-CN"/>
              </w:rPr>
              <w:t>4、《导体和电器选择设计技术规定》;</w:t>
            </w:r>
          </w:p>
          <w:p>
            <w:pPr>
              <w:rPr>
                <w:rFonts w:hint="eastAsia"/>
                <w:u w:val="single"/>
                <w:lang w:val="en-US" w:eastAsia="zh-CN"/>
              </w:rPr>
            </w:pPr>
            <w:r>
              <w:rPr>
                <w:rFonts w:hint="eastAsia"/>
                <w:u w:val="single"/>
                <w:lang w:val="en-US" w:eastAsia="zh-CN"/>
              </w:rPr>
              <w:t>4、《继电保护和安全自动装置技术规程》;</w:t>
            </w:r>
          </w:p>
          <w:p>
            <w:pPr>
              <w:rPr>
                <w:rFonts w:hint="eastAsia"/>
                <w:u w:val="single"/>
                <w:lang w:val="en-US" w:eastAsia="zh-CN"/>
              </w:rPr>
            </w:pPr>
            <w:r>
              <w:rPr>
                <w:rFonts w:hint="eastAsia"/>
                <w:u w:val="single"/>
                <w:lang w:val="en-US" w:eastAsia="zh-CN"/>
              </w:rPr>
              <w:t>5、《35~110kV变电所设计规范》。</w:t>
            </w:r>
          </w:p>
          <w:p>
            <w:pPr>
              <w:rPr>
                <w:rFonts w:hint="eastAsia"/>
                <w:u w:val="single"/>
                <w:lang w:val="en-US" w:eastAsia="zh-CN"/>
              </w:rPr>
            </w:pPr>
            <w:r>
              <w:rPr>
                <w:rFonts w:hint="eastAsia"/>
                <w:u w:val="single"/>
                <w:lang w:val="en-US" w:eastAsia="zh-CN"/>
              </w:rPr>
              <w:t>6、 Q/GDW678-2011《智能变电站一体化监控系统功能规范》</w:t>
            </w:r>
          </w:p>
          <w:p>
            <w:pPr>
              <w:rPr>
                <w:rFonts w:hint="eastAsia"/>
                <w:u w:val="single"/>
                <w:lang w:val="en-US" w:eastAsia="zh-CN"/>
              </w:rPr>
            </w:pPr>
            <w:r>
              <w:rPr>
                <w:rFonts w:hint="eastAsia"/>
                <w:u w:val="single"/>
                <w:lang w:val="en-US" w:eastAsia="zh-CN"/>
              </w:rPr>
              <w:t>7、Q/GDW679-2011《智能变电站一体化监控系统建设技术规范》</w:t>
            </w:r>
          </w:p>
          <w:p>
            <w:pPr>
              <w:rPr>
                <w:rFonts w:hint="eastAsia"/>
                <w:u w:val="single"/>
                <w:lang w:val="en-US" w:eastAsia="zh-CN"/>
              </w:rPr>
            </w:pPr>
            <w:r>
              <w:rPr>
                <w:rFonts w:hint="eastAsia"/>
                <w:u w:val="single"/>
                <w:lang w:val="en-US" w:eastAsia="zh-CN"/>
              </w:rPr>
              <w:t>8、《国家电网公司办公厅关于印发智能变电站110kV保护测控装置集成和110kV合单元智能终端装置集成技术要求的通知》(办基建(2013)3号)</w:t>
            </w:r>
          </w:p>
          <w:p>
            <w:pPr>
              <w:rPr>
                <w:rFonts w:hint="eastAsia"/>
                <w:u w:val="single"/>
                <w:lang w:val="en-US" w:eastAsia="zh-CN"/>
              </w:rPr>
            </w:pPr>
            <w:r>
              <w:rPr>
                <w:rFonts w:hint="eastAsia"/>
                <w:u w:val="single"/>
                <w:lang w:val="en-US" w:eastAsia="zh-CN"/>
              </w:rPr>
              <w:t>9、《国调中心关于印发变电站二次系统和设备有关技术研讨会纪要的通知》(调(2013) 185号)</w:t>
            </w:r>
          </w:p>
          <w:p>
            <w:pPr>
              <w:rPr>
                <w:u w:val="single"/>
              </w:rPr>
            </w:pPr>
            <w:r>
              <w:rPr>
                <w:rFonts w:hint="eastAsia"/>
                <w:u w:val="single"/>
                <w:lang w:val="en-US" w:eastAsia="zh-CN"/>
              </w:rPr>
              <w:t>10、《国家电网公司关于印发国家电网公司标准化建设成果(通用设计、通用设备应用目录(2016年版)的通知》(国家电网基建(2015)344号)</w:t>
            </w:r>
            <w:r>
              <w:rPr>
                <w:rFonts w:hint="eastAsia"/>
                <w:u w:val="single"/>
              </w:rPr>
              <w:t xml:space="preserve">    </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ascii="宋体"/>
          <w:b/>
          <w:sz w:val="18"/>
          <w:szCs w:val="18"/>
          <w:lang w:val="en-US" w:eastAsia="zh-CN"/>
        </w:rPr>
        <w:t xml:space="preserve">  朱恒   </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ascii="宋体"/>
          <w:b/>
          <w:sz w:val="22"/>
          <w:szCs w:val="22"/>
          <w:lang w:val="en-US" w:eastAsia="zh-CN"/>
        </w:rPr>
        <w:t>2021.5.26</w:t>
      </w:r>
      <w:r>
        <w:rPr>
          <w:rFonts w:hint="eastAsia" w:ascii="宋体"/>
          <w:b/>
          <w:sz w:val="22"/>
          <w:szCs w:val="22"/>
        </w:rPr>
        <w:t xml:space="preserve">           审核组长</w:t>
      </w:r>
      <w:r>
        <w:rPr>
          <w:rFonts w:hint="eastAsia" w:ascii="宋体"/>
          <w:b/>
          <w:sz w:val="18"/>
          <w:szCs w:val="18"/>
        </w:rPr>
        <w:t>：</w:t>
      </w:r>
      <w:r>
        <w:rPr>
          <w:rFonts w:hint="eastAsia" w:ascii="宋体"/>
          <w:b/>
          <w:sz w:val="18"/>
          <w:szCs w:val="18"/>
          <w:lang w:val="en-US" w:eastAsia="zh-CN"/>
        </w:rPr>
        <w:t>张磊</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2021.5.26</w:t>
      </w:r>
      <w:bookmarkStart w:id="4" w:name="_GoBack"/>
      <w:bookmarkEnd w:id="4"/>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-I-24专业培训记录(03版)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A65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Words>
  <Characters>250</Characters>
  <Lines>2</Lines>
  <Paragraphs>1</Paragraphs>
  <TotalTime>1</TotalTime>
  <ScaleCrop>false</ScaleCrop>
  <LinksUpToDate>false</LinksUpToDate>
  <CharactersWithSpaces>292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2021-07-10T18:12:26Z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BFFF5D28E31D4D0B99035E3C64A42CDD</vt:lpwstr>
  </property>
</Properties>
</file>