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10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过程与活动、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条款</w:t>
            </w:r>
          </w:p>
        </w:tc>
        <w:tc>
          <w:tcPr>
            <w:tcW w:w="11022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受审核部门：  财务部                主管领导    </w:t>
            </w:r>
            <w:r>
              <w:rPr>
                <w:rFonts w:hint="eastAsia"/>
                <w:szCs w:val="21"/>
                <w:lang w:val="en-US" w:eastAsia="zh-CN"/>
              </w:rPr>
              <w:t>曹丹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经理</w:t>
            </w:r>
            <w:r>
              <w:rPr>
                <w:rFonts w:hint="eastAsia"/>
                <w:szCs w:val="21"/>
              </w:rPr>
              <w:t xml:space="preserve">）         陪同人员 </w:t>
            </w:r>
            <w:r>
              <w:rPr>
                <w:rFonts w:hint="eastAsia"/>
                <w:szCs w:val="21"/>
                <w:lang w:val="en-US" w:eastAsia="zh-CN"/>
              </w:rPr>
              <w:t>徐晨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1022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审核员：   马佳                     审核时间： </w:t>
            </w:r>
            <w:r>
              <w:rPr>
                <w:szCs w:val="21"/>
              </w:rPr>
              <w:t>2021.07.0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102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审核条款： </w:t>
            </w:r>
            <w:r>
              <w:rPr>
                <w:szCs w:val="21"/>
              </w:rPr>
              <w:t xml:space="preserve"> </w:t>
            </w:r>
            <w:r>
              <w:t>E</w:t>
            </w:r>
            <w:r>
              <w:rPr>
                <w:rFonts w:hint="eastAsia"/>
              </w:rPr>
              <w:t>n:</w:t>
            </w:r>
            <w:r>
              <w:t xml:space="preserve"> 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；6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8.1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10.1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</w:trPr>
        <w:tc>
          <w:tcPr>
            <w:tcW w:w="2160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了解部门基本情况；的岗位设置；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职责和权限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查能源目标、指标及其实现的策划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运行的策划和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续前页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不符合与纠正措施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 xml:space="preserve"> 5.3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>6.2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>8.1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22" w:type="dxa"/>
          </w:tcPr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本部门共有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人，设经理、成本核算、固定资产、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采购/销售、</w:t>
            </w:r>
            <w:r>
              <w:rPr>
                <w:rFonts w:hint="eastAsia"/>
                <w:sz w:val="24"/>
                <w:szCs w:val="24"/>
              </w:rPr>
              <w:t>统计、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出纳</w:t>
            </w:r>
            <w:r>
              <w:rPr>
                <w:rFonts w:hint="eastAsia"/>
                <w:sz w:val="24"/>
                <w:szCs w:val="24"/>
              </w:rPr>
              <w:t>会计等岗位。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主要负责公司财务核算、成本核算、资金收付与预算、资金满足供给，确保公司生产经营正常运行；</w:t>
            </w:r>
          </w:p>
          <w:p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出示有部门能源职责规定及岗位职责规定，内容基本符合要求。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出示部门分解目标指标，涉及能源的主要有：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pStyle w:val="1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确保公司生产能源资金供给1</w:t>
            </w:r>
            <w:r>
              <w:rPr>
                <w:sz w:val="24"/>
                <w:szCs w:val="24"/>
              </w:rPr>
              <w:t>00%</w:t>
            </w:r>
            <w:r>
              <w:rPr>
                <w:rFonts w:hint="eastAsia"/>
                <w:sz w:val="24"/>
                <w:szCs w:val="24"/>
              </w:rPr>
              <w:t>充分；</w:t>
            </w:r>
          </w:p>
          <w:p>
            <w:pPr>
              <w:pStyle w:val="1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确保财务核算、按章纳税合规合法；</w:t>
            </w:r>
          </w:p>
          <w:p>
            <w:pPr>
              <w:pStyle w:val="1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成本核算、资金收付与预算、统计等差错率为零。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left="960" w:hanging="960" w:hanging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本</w:t>
            </w: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/>
                <w:sz w:val="24"/>
                <w:szCs w:val="24"/>
              </w:rPr>
              <w:t>季对目标指标完成情况进行检查考核，经查本部门2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年一季度和二季度</w:t>
            </w:r>
          </w:p>
          <w:p>
            <w:pPr>
              <w:ind w:left="960" w:hanging="960" w:hangingChars="400"/>
              <w:rPr>
                <w:sz w:val="24"/>
                <w:szCs w:val="24"/>
              </w:rPr>
            </w:pPr>
          </w:p>
          <w:p>
            <w:pPr>
              <w:ind w:left="840" w:leftChars="400"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能源各项目标指标全部完成。</w:t>
            </w:r>
          </w:p>
          <w:p>
            <w:pPr>
              <w:rPr>
                <w:sz w:val="24"/>
                <w:szCs w:val="24"/>
              </w:rPr>
            </w:pPr>
          </w:p>
          <w:p/>
          <w:p>
            <w:pPr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本部门策划编制了《财务管理控制程序》，内容规定了公司生产经营、财务核算、按章纳税</w:t>
            </w:r>
          </w:p>
          <w:p>
            <w:pPr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的控制要求，以确保公司生产经营资金供给充分。</w:t>
            </w:r>
          </w:p>
          <w:p>
            <w:pPr>
              <w:widowControl/>
              <w:spacing w:line="280" w:lineRule="exact"/>
              <w:ind w:firstLine="560" w:firstLineChars="200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1120" w:firstLineChars="4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公司主要需求能源品种有三种：电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氮气</w:t>
            </w:r>
            <w:bookmarkStart w:id="0" w:name="_GoBack"/>
            <w:bookmarkEnd w:id="0"/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和氧气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ind w:firstLine="1120" w:firstLineChars="4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80" w:lineRule="exact"/>
              <w:ind w:firstLine="1120" w:firstLineChars="4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1120" w:firstLineChars="400"/>
              <w:jc w:val="left"/>
              <w:textAlignment w:val="center"/>
              <w:rPr>
                <w:rFonts w:hint="eastAsia" w:ascii="宋体" w:hAnsi="宋体" w:eastAsia="宋体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电和水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均通过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常州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市政府专业公司进行购买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本部门按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支付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479" w:leftChars="228" w:firstLine="280" w:firstLineChars="100"/>
              <w:jc w:val="left"/>
              <w:textAlignment w:val="center"/>
              <w:rPr>
                <w:rFonts w:hint="default" w:ascii="宋体" w:hAnsi="宋体" w:eastAsia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抽查2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>021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月、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月、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分别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支付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国网江苏省电力有限公司常州供电分公司电费4月82345.47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元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发票号码02635049）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5月72170.64元（发票号码26555467）、6月76244.91元（发票号码02656989）,均为江苏增值税发票。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479" w:leftChars="228" w:firstLine="280" w:firstLineChars="100"/>
              <w:jc w:val="left"/>
              <w:textAlignment w:val="center"/>
              <w:rPr>
                <w:rFonts w:hint="default" w:ascii="宋体" w:hAnsi="宋体" w:eastAsia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又抽2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>021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年3月、4月、5月支付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常州通用自来水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有限公司水费发票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均为江苏增值税发票。3月4920元、4月7532元、5月16755元。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eastAsia" w:ascii="宋体" w:hAnsi="宋体" w:eastAsia="宋体"/>
                <w:spacing w:val="2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80" w:lineRule="exact"/>
              <w:ind w:left="479" w:leftChars="228" w:firstLine="280" w:firstLineChars="1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查公司2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>021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年1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>-6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月投入节能技改资金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205万元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购买节能设备。江苏增值专用发票号码04451288       购买货物名称：数控光纤切割机1套（HLE-2560-8KW)</w:t>
            </w:r>
          </w:p>
          <w:p>
            <w:pPr>
              <w:widowControl/>
              <w:spacing w:line="280" w:lineRule="exact"/>
              <w:ind w:left="479" w:leftChars="228" w:firstLine="280" w:firstLineChars="1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80" w:lineRule="exact"/>
              <w:ind w:left="479" w:leftChars="228" w:firstLine="280" w:firstLineChars="100"/>
              <w:jc w:val="left"/>
              <w:textAlignment w:val="center"/>
              <w:rPr>
                <w:rFonts w:hint="default" w:ascii="宋体" w:hAnsi="宋体"/>
                <w:spacing w:val="2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出示2021年3月三张江苏增值专用发票购买 4台变频电机，合计58330元。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/>
                <w:color w:val="FF0000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default" w:ascii="宋体" w:hAnsi="宋体" w:eastAsia="宋体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20"/>
                <w:sz w:val="24"/>
                <w:szCs w:val="24"/>
                <w:lang w:val="en-US" w:eastAsia="zh-CN"/>
              </w:rPr>
              <w:t>由上可知，公司能源购置、节能技改资金满足要求。</w:t>
            </w: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ascii="宋体" w:hAnsi="宋体"/>
                <w:color w:val="auto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ascii="宋体" w:hAnsi="宋体"/>
                <w:color w:val="auto"/>
                <w:spacing w:val="20"/>
                <w:sz w:val="24"/>
                <w:szCs w:val="24"/>
              </w:rPr>
            </w:pPr>
          </w:p>
          <w:p>
            <w:pPr>
              <w:spacing w:before="31" w:beforeLines="10" w:after="31" w:afterLines="10"/>
              <w:ind w:firstLine="960" w:firstLineChars="4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24"/>
                <w:szCs w:val="24"/>
              </w:rPr>
              <w:t>本部门要求办公室员工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照明灯不用时及时将电源关闭， 电脑不使用时及时将电源关闭，电脑</w:t>
            </w:r>
          </w:p>
          <w:p>
            <w:pPr>
              <w:spacing w:before="31" w:beforeLines="10" w:after="31" w:afterLines="10"/>
              <w:ind w:firstLine="1200" w:firstLineChars="5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before="31" w:beforeLines="10" w:after="31" w:afterLines="10"/>
              <w:ind w:firstLine="1200" w:firstLineChars="5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设置休眠功能， 夏天空调设置26度以上。</w:t>
            </w:r>
          </w:p>
          <w:p>
            <w:pPr>
              <w:spacing w:before="31" w:beforeLines="10" w:after="31" w:afterLines="10"/>
              <w:ind w:left="870" w:leftChars="300" w:hanging="240" w:hangingChars="1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before="31" w:beforeLines="10" w:after="31" w:afterLines="10"/>
              <w:ind w:left="840" w:leftChars="400"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办公区域现场张贴节约用电和节约用水的宣传标识。能够做到人走灯息、空调在26度以</w:t>
            </w:r>
          </w:p>
          <w:p>
            <w:pPr>
              <w:spacing w:before="31" w:beforeLines="10" w:after="31" w:afterLines="10"/>
              <w:ind w:left="840" w:leftChars="400" w:firstLine="720" w:firstLineChars="3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before="31" w:beforeLines="10" w:after="31" w:afterLines="10"/>
              <w:ind w:firstLine="1440" w:firstLineChars="6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上，没有发现长明灯、长流水现象。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cs="Arial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cs="Arial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>自公司能源管理体系运行以来，本部门尚未发生不符合。</w:t>
            </w:r>
          </w:p>
        </w:tc>
        <w:tc>
          <w:tcPr>
            <w:tcW w:w="1417" w:type="dxa"/>
          </w:tcPr>
          <w:p/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说明：不符合标注N</w:t>
      </w:r>
      <w:r>
        <w:t xml:space="preserve">                                                     </w:t>
      </w:r>
      <w:r>
        <w:rPr>
          <w:rFonts w:hint="eastAsia"/>
          <w:lang w:val="en-US" w:eastAsia="zh-CN"/>
        </w:rPr>
        <w:t>2-2</w:t>
      </w:r>
    </w:p>
    <w:sectPr>
      <w:headerReference r:id="rId3" w:type="default"/>
      <w:pgSz w:w="16838" w:h="11906" w:orient="landscape"/>
      <w:pgMar w:top="720" w:right="720" w:bottom="720" w:left="720" w:header="340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214AA"/>
    <w:multiLevelType w:val="multilevel"/>
    <w:tmpl w:val="41F214AA"/>
    <w:lvl w:ilvl="0" w:tentative="0">
      <w:start w:val="1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1B3"/>
    <w:rsid w:val="0002575A"/>
    <w:rsid w:val="00060259"/>
    <w:rsid w:val="000D788F"/>
    <w:rsid w:val="000D7932"/>
    <w:rsid w:val="001361EA"/>
    <w:rsid w:val="00145DB7"/>
    <w:rsid w:val="00154D1B"/>
    <w:rsid w:val="00170A0F"/>
    <w:rsid w:val="00175CEA"/>
    <w:rsid w:val="001A0592"/>
    <w:rsid w:val="001A7AA6"/>
    <w:rsid w:val="001D7A40"/>
    <w:rsid w:val="001F60E8"/>
    <w:rsid w:val="001F7C6A"/>
    <w:rsid w:val="002040BE"/>
    <w:rsid w:val="002313B7"/>
    <w:rsid w:val="002840A0"/>
    <w:rsid w:val="002E1898"/>
    <w:rsid w:val="002E77C3"/>
    <w:rsid w:val="002F4627"/>
    <w:rsid w:val="00326299"/>
    <w:rsid w:val="0034333F"/>
    <w:rsid w:val="00376228"/>
    <w:rsid w:val="003950F9"/>
    <w:rsid w:val="003C657B"/>
    <w:rsid w:val="003E02E4"/>
    <w:rsid w:val="004811B3"/>
    <w:rsid w:val="00491D7D"/>
    <w:rsid w:val="00576E43"/>
    <w:rsid w:val="005C6760"/>
    <w:rsid w:val="0060606F"/>
    <w:rsid w:val="00607184"/>
    <w:rsid w:val="00607682"/>
    <w:rsid w:val="00633312"/>
    <w:rsid w:val="006569BF"/>
    <w:rsid w:val="006620BC"/>
    <w:rsid w:val="006B0B5F"/>
    <w:rsid w:val="006B7ABE"/>
    <w:rsid w:val="007140B4"/>
    <w:rsid w:val="00754AAA"/>
    <w:rsid w:val="00760F3D"/>
    <w:rsid w:val="0077434C"/>
    <w:rsid w:val="00790B53"/>
    <w:rsid w:val="00791B09"/>
    <w:rsid w:val="007A6B34"/>
    <w:rsid w:val="0080115B"/>
    <w:rsid w:val="0088507B"/>
    <w:rsid w:val="00887399"/>
    <w:rsid w:val="0089414E"/>
    <w:rsid w:val="0089622F"/>
    <w:rsid w:val="008A5574"/>
    <w:rsid w:val="008C694B"/>
    <w:rsid w:val="009223F7"/>
    <w:rsid w:val="00962BD0"/>
    <w:rsid w:val="009D4525"/>
    <w:rsid w:val="009F511F"/>
    <w:rsid w:val="00A2678B"/>
    <w:rsid w:val="00A34440"/>
    <w:rsid w:val="00A563E7"/>
    <w:rsid w:val="00A971BF"/>
    <w:rsid w:val="00AB351F"/>
    <w:rsid w:val="00AE5D4E"/>
    <w:rsid w:val="00BB2D15"/>
    <w:rsid w:val="00BB3E81"/>
    <w:rsid w:val="00C351A7"/>
    <w:rsid w:val="00C539A8"/>
    <w:rsid w:val="00C904B0"/>
    <w:rsid w:val="00CA22EA"/>
    <w:rsid w:val="00CA29B3"/>
    <w:rsid w:val="00CB5A1B"/>
    <w:rsid w:val="00CC317C"/>
    <w:rsid w:val="00CD5B4B"/>
    <w:rsid w:val="00CF03DF"/>
    <w:rsid w:val="00CF1E5A"/>
    <w:rsid w:val="00CF346B"/>
    <w:rsid w:val="00D376CC"/>
    <w:rsid w:val="00E60743"/>
    <w:rsid w:val="00EE6F63"/>
    <w:rsid w:val="00F0364C"/>
    <w:rsid w:val="00F4715A"/>
    <w:rsid w:val="00F86E05"/>
    <w:rsid w:val="00FA5EED"/>
    <w:rsid w:val="00FC7677"/>
    <w:rsid w:val="080E306F"/>
    <w:rsid w:val="0D8B0C23"/>
    <w:rsid w:val="72FD3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5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14">
    <w:name w:val="List Paragraph"/>
    <w:basedOn w:val="1"/>
    <w:qFormat/>
    <w:uiPriority w:val="1"/>
    <w:pPr>
      <w:autoSpaceDE w:val="0"/>
      <w:autoSpaceDN w:val="0"/>
      <w:spacing w:before="92"/>
      <w:ind w:left="980" w:hanging="60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5">
    <w:name w:val="正文文本首行缩进 字符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1B16B-6235-4D5A-A11A-A5776FB88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1148</Characters>
  <Lines>9</Lines>
  <Paragraphs>2</Paragraphs>
  <TotalTime>0</TotalTime>
  <ScaleCrop>false</ScaleCrop>
  <LinksUpToDate>false</LinksUpToDate>
  <CharactersWithSpaces>1347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2021-07-11T14:38:04Z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C5815B6AF9B9437E96E34D8E7CF32A78</vt:lpwstr>
  </property>
</Properties>
</file>