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rPr>
      </w:pPr>
    </w:p>
    <w:p>
      <w:pPr>
        <w:snapToGrid w:val="0"/>
        <w:spacing w:line="480" w:lineRule="auto"/>
        <w:ind w:firstLine="5301" w:firstLineChars="2200"/>
        <w:rPr>
          <w:rFonts w:hint="eastAsia" w:ascii="宋体" w:hAnsi="宋体" w:eastAsia="宋体"/>
          <w:b/>
          <w:bCs/>
          <w:kern w:val="0"/>
          <w:szCs w:val="21"/>
          <w:u w:val="single"/>
          <w:lang w:val="en-US" w:eastAsia="zh-CN"/>
        </w:rPr>
      </w:pPr>
      <w:r>
        <w:rPr>
          <w:rFonts w:hint="eastAsia" w:ascii="宋体" w:hAnsi="宋体"/>
          <w:b/>
          <w:bCs/>
          <w:kern w:val="0"/>
          <w:szCs w:val="21"/>
          <w:u w:val="single"/>
        </w:rPr>
        <w:t>编号</w:t>
      </w:r>
      <w:bookmarkStart w:id="0" w:name="合同编号"/>
      <w:r>
        <w:rPr>
          <w:rFonts w:hint="eastAsia" w:ascii="宋体" w:hAnsi="宋体"/>
          <w:b/>
          <w:bCs/>
          <w:kern w:val="0"/>
          <w:szCs w:val="21"/>
          <w:u w:val="single"/>
        </w:rPr>
        <w:t>：</w:t>
      </w:r>
      <w:r>
        <w:rPr>
          <w:sz w:val="20"/>
        </w:rPr>
        <w:t>0132-2019-Q-202</w:t>
      </w:r>
      <w:bookmarkEnd w:id="0"/>
      <w:r>
        <w:rPr>
          <w:rFonts w:hint="eastAsia"/>
          <w:sz w:val="20"/>
          <w:lang w:val="en-US" w:eastAsia="zh-CN"/>
        </w:rPr>
        <w:t>1</w:t>
      </w:r>
    </w:p>
    <w:p>
      <w:pPr>
        <w:jc w:val="right"/>
        <w:rPr>
          <w:rFonts w:ascii="宋体" w:hAnsi="宋体"/>
          <w:szCs w:val="2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1030" o:spt="75" type="#_x0000_t75" style="position:absolute;left:0pt;margin-left:169.75pt;margin-top:-36.8pt;height:117.35pt;width:135.75pt;mso-wrap-distance-left:9pt;mso-wrap-distance-right:9pt;z-index:-251656192;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受审核方：重庆宾鹏科技有限公司</w:t>
      </w:r>
    </w:p>
    <w:p>
      <w:pPr>
        <w:snapToGrid w:val="0"/>
        <w:spacing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Lines="30"/>
        <w:ind w:firstLine="964" w:firstLineChars="300"/>
        <w:rPr>
          <w:rFonts w:ascii="楷体" w:hAnsi="楷体" w:eastAsia="楷体"/>
          <w:b/>
          <w:color w:val="000000"/>
          <w:sz w:val="32"/>
          <w:szCs w:val="32"/>
        </w:rPr>
      </w:pPr>
      <w:bookmarkStart w:id="1" w:name="Q勾选15"/>
      <w:r>
        <w:rPr>
          <w:rFonts w:hint="eastAsia" w:ascii="楷体" w:hAnsi="楷体" w:eastAsia="楷体"/>
          <w:b/>
          <w:color w:val="000000"/>
          <w:sz w:val="32"/>
          <w:szCs w:val="32"/>
        </w:rPr>
        <w:t>■</w:t>
      </w:r>
      <w:bookmarkEnd w:id="1"/>
      <w:r>
        <w:rPr>
          <w:rFonts w:hint="eastAsia" w:ascii="楷体" w:hAnsi="楷体" w:eastAsia="楷体"/>
          <w:b/>
          <w:color w:val="000000"/>
          <w:sz w:val="32"/>
          <w:szCs w:val="32"/>
        </w:rPr>
        <w:t>质量管理体系（QMS）</w:t>
      </w:r>
      <w:bookmarkStart w:id="2" w:name="QJ勾选"/>
      <w:r>
        <w:rPr>
          <w:rFonts w:hint="eastAsia" w:ascii="楷体" w:hAnsi="楷体" w:eastAsia="楷体"/>
          <w:b/>
          <w:color w:val="000000"/>
          <w:sz w:val="32"/>
          <w:szCs w:val="32"/>
        </w:rPr>
        <w:t>□</w:t>
      </w:r>
      <w:bookmarkEnd w:id="2"/>
      <w:r>
        <w:rPr>
          <w:rFonts w:hint="eastAsia" w:ascii="楷体" w:hAnsi="楷体" w:eastAsia="楷体"/>
          <w:b/>
          <w:color w:val="000000"/>
          <w:sz w:val="32"/>
          <w:szCs w:val="32"/>
        </w:rPr>
        <w:t>50430(第</w:t>
      </w:r>
      <w:r>
        <w:rPr>
          <w:rFonts w:hint="eastAsia" w:ascii="楷体" w:hAnsi="楷体" w:eastAsia="楷体"/>
          <w:b/>
          <w:color w:val="000000"/>
          <w:sz w:val="32"/>
          <w:szCs w:val="32"/>
          <w:lang w:val="en-US" w:eastAsia="zh-CN"/>
        </w:rPr>
        <w:t>2</w:t>
      </w:r>
      <w:r>
        <w:rPr>
          <w:rFonts w:hint="eastAsia" w:ascii="楷体" w:hAnsi="楷体" w:eastAsia="楷体"/>
          <w:b/>
          <w:color w:val="000000"/>
          <w:sz w:val="32"/>
          <w:szCs w:val="32"/>
        </w:rPr>
        <w:t xml:space="preserve"> 次)</w:t>
      </w:r>
    </w:p>
    <w:p>
      <w:pPr>
        <w:snapToGrid w:val="0"/>
        <w:spacing w:afterLines="30"/>
        <w:ind w:firstLine="957" w:firstLineChars="298"/>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afterLines="30"/>
        <w:ind w:firstLine="957" w:firstLineChars="298"/>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ascii="楷体" w:hAnsi="楷体" w:eastAsia="楷体"/>
          <w:b/>
          <w:color w:val="000000"/>
          <w:sz w:val="36"/>
          <w:szCs w:val="36"/>
        </w:rPr>
      </w:pPr>
      <w:r>
        <w:rPr>
          <w:rFonts w:hint="eastAsia" w:ascii="楷体" w:hAnsi="楷体" w:eastAsia="楷体"/>
          <w:b/>
          <w:color w:val="000000"/>
          <w:sz w:val="36"/>
          <w:szCs w:val="36"/>
        </w:rPr>
        <w:t>网址：</w:t>
      </w:r>
      <w:r>
        <w:fldChar w:fldCharType="begin"/>
      </w:r>
      <w:r>
        <w:instrText xml:space="preserve"> HYPERLINK "http://www.china-isc.org.cn" </w:instrText>
      </w:r>
      <w:r>
        <w:fldChar w:fldCharType="separate"/>
      </w:r>
      <w:r>
        <w:rPr>
          <w:rStyle w:val="10"/>
          <w:rFonts w:ascii="楷体" w:hAnsi="楷体" w:eastAsia="楷体"/>
          <w:b/>
          <w:sz w:val="36"/>
          <w:szCs w:val="36"/>
        </w:rPr>
        <w:t>www.</w:t>
      </w:r>
      <w:r>
        <w:rPr>
          <w:rStyle w:val="10"/>
          <w:rFonts w:hint="eastAsia" w:ascii="楷体" w:hAnsi="楷体" w:eastAsia="楷体"/>
          <w:b/>
          <w:sz w:val="36"/>
          <w:szCs w:val="36"/>
        </w:rPr>
        <w:t>china-isc.org.cn</w:t>
      </w:r>
      <w:r>
        <w:rPr>
          <w:rStyle w:val="10"/>
          <w:rFonts w:hint="eastAsia" w:ascii="楷体" w:hAnsi="楷体" w:eastAsia="楷体"/>
          <w:b/>
          <w:sz w:val="36"/>
          <w:szCs w:val="36"/>
        </w:rPr>
        <w:fldChar w:fldCharType="end"/>
      </w:r>
    </w:p>
    <w:p>
      <w:pPr>
        <w:widowControl/>
        <w:ind w:firstLine="2512" w:firstLineChars="695"/>
        <w:jc w:val="left"/>
        <w:rPr>
          <w:rFonts w:ascii="楷体" w:hAnsi="楷体" w:eastAsia="楷体"/>
          <w:b/>
          <w:color w:val="000000"/>
          <w:sz w:val="36"/>
          <w:szCs w:val="36"/>
        </w:rPr>
      </w:pPr>
    </w:p>
    <w:p>
      <w:pPr>
        <w:widowControl/>
        <w:jc w:val="left"/>
        <w:rPr>
          <w:rFonts w:ascii="楷体" w:hAnsi="楷体" w:eastAsia="楷体"/>
          <w:b/>
          <w:color w:val="000000"/>
          <w:sz w:val="36"/>
          <w:szCs w:val="36"/>
        </w:rPr>
      </w:pPr>
    </w:p>
    <w:p>
      <w:pPr>
        <w:widowControl/>
        <w:jc w:val="left"/>
        <w:rPr>
          <w:rFonts w:ascii="楷体" w:hAnsi="楷体" w:eastAsia="楷体"/>
          <w:b/>
          <w:color w:val="000000"/>
          <w:sz w:val="36"/>
          <w:szCs w:val="36"/>
        </w:rPr>
      </w:pPr>
    </w:p>
    <w:p>
      <w:pPr>
        <w:rPr>
          <w:rFonts w:ascii="宋体" w:hAnsi="宋体"/>
          <w:b/>
          <w:color w:val="000000"/>
          <w:sz w:val="26"/>
          <w:szCs w:val="26"/>
        </w:rPr>
      </w:pPr>
    </w:p>
    <w:p>
      <w:pPr>
        <w:rPr>
          <w:rFonts w:ascii="宋体" w:hAnsi="宋体"/>
          <w:b/>
          <w:color w:val="000000"/>
          <w:sz w:val="26"/>
          <w:szCs w:val="26"/>
        </w:rPr>
      </w:pPr>
      <w:r>
        <w:rPr>
          <w:rFonts w:hint="eastAsia" w:ascii="宋体" w:hAnsi="宋体"/>
          <w:b/>
          <w:color w:val="000000"/>
          <w:sz w:val="26"/>
          <w:szCs w:val="26"/>
        </w:rPr>
        <w:t>一、审核方基本信息</w:t>
      </w:r>
    </w:p>
    <w:tbl>
      <w:tblPr>
        <w:tblStyle w:val="6"/>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559"/>
        <w:gridCol w:w="1277"/>
        <w:gridCol w:w="1699"/>
        <w:gridCol w:w="993"/>
        <w:gridCol w:w="735"/>
        <w:gridCol w:w="115"/>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8"/>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gridSpan w:val="2"/>
          </w:tcPr>
          <w:p>
            <w:pPr>
              <w:rPr>
                <w:b/>
                <w:sz w:val="21"/>
                <w:szCs w:val="21"/>
              </w:rPr>
            </w:pPr>
            <w:r>
              <w:rPr>
                <w:rFonts w:hint="eastAsia"/>
                <w:b/>
                <w:sz w:val="21"/>
                <w:szCs w:val="21"/>
              </w:rPr>
              <w:t>邮编</w:t>
            </w:r>
          </w:p>
        </w:tc>
        <w:tc>
          <w:tcPr>
            <w:tcW w:w="1614" w:type="dxa"/>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8"/>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0"/>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职务</w:t>
            </w:r>
          </w:p>
        </w:tc>
        <w:tc>
          <w:tcPr>
            <w:tcW w:w="1277" w:type="dxa"/>
            <w:vAlign w:val="center"/>
          </w:tcPr>
          <w:p>
            <w:pPr>
              <w:jc w:val="center"/>
              <w:rPr>
                <w:b/>
                <w:sz w:val="21"/>
                <w:szCs w:val="21"/>
              </w:rPr>
            </w:pPr>
            <w:r>
              <w:rPr>
                <w:rFonts w:hint="eastAsia"/>
                <w:b/>
                <w:sz w:val="21"/>
                <w:szCs w:val="21"/>
              </w:rPr>
              <w:t>注册级别</w:t>
            </w:r>
          </w:p>
        </w:tc>
        <w:tc>
          <w:tcPr>
            <w:tcW w:w="1699" w:type="dxa"/>
            <w:vAlign w:val="center"/>
          </w:tcPr>
          <w:p>
            <w:pPr>
              <w:jc w:val="center"/>
              <w:rPr>
                <w:b/>
                <w:sz w:val="21"/>
                <w:szCs w:val="21"/>
              </w:rPr>
            </w:pPr>
            <w:r>
              <w:rPr>
                <w:rFonts w:hint="eastAsia"/>
                <w:b/>
                <w:sz w:val="21"/>
                <w:szCs w:val="21"/>
              </w:rPr>
              <w:t>审核员注册号</w:t>
            </w:r>
          </w:p>
        </w:tc>
        <w:tc>
          <w:tcPr>
            <w:tcW w:w="1728" w:type="dxa"/>
            <w:gridSpan w:val="2"/>
            <w:vAlign w:val="center"/>
          </w:tcPr>
          <w:p>
            <w:pPr>
              <w:jc w:val="center"/>
              <w:rPr>
                <w:b/>
                <w:sz w:val="21"/>
                <w:szCs w:val="21"/>
              </w:rPr>
            </w:pPr>
            <w:r>
              <w:rPr>
                <w:rFonts w:hint="eastAsia"/>
                <w:b/>
                <w:sz w:val="21"/>
                <w:szCs w:val="21"/>
              </w:rPr>
              <w:t>专业代码</w:t>
            </w:r>
          </w:p>
        </w:tc>
        <w:tc>
          <w:tcPr>
            <w:tcW w:w="1729" w:type="dxa"/>
            <w:gridSpan w:val="2"/>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张心</w:t>
            </w:r>
          </w:p>
        </w:tc>
        <w:tc>
          <w:tcPr>
            <w:tcW w:w="824" w:type="dxa"/>
            <w:gridSpan w:val="2"/>
            <w:vAlign w:val="center"/>
          </w:tcPr>
          <w:p>
            <w:pPr>
              <w:jc w:val="center"/>
              <w:rPr>
                <w:b/>
                <w:sz w:val="21"/>
                <w:szCs w:val="21"/>
              </w:rPr>
            </w:pPr>
            <w:r>
              <w:rPr>
                <w:b/>
                <w:sz w:val="21"/>
                <w:szCs w:val="21"/>
              </w:rPr>
              <w:t>女</w:t>
            </w:r>
          </w:p>
        </w:tc>
        <w:tc>
          <w:tcPr>
            <w:tcW w:w="1559" w:type="dxa"/>
            <w:vAlign w:val="center"/>
          </w:tcPr>
          <w:p>
            <w:pPr>
              <w:jc w:val="center"/>
              <w:rPr>
                <w:b/>
                <w:sz w:val="21"/>
                <w:szCs w:val="21"/>
              </w:rPr>
            </w:pPr>
            <w:r>
              <w:rPr>
                <w:b/>
                <w:sz w:val="21"/>
                <w:szCs w:val="21"/>
              </w:rPr>
              <w:t>组长</w:t>
            </w:r>
          </w:p>
        </w:tc>
        <w:tc>
          <w:tcPr>
            <w:tcW w:w="1277" w:type="dxa"/>
            <w:vAlign w:val="center"/>
          </w:tcPr>
          <w:p>
            <w:pPr>
              <w:jc w:val="center"/>
              <w:rPr>
                <w:b/>
                <w:sz w:val="21"/>
                <w:szCs w:val="21"/>
              </w:rPr>
            </w:pPr>
            <w:r>
              <w:rPr>
                <w:b/>
                <w:sz w:val="21"/>
                <w:szCs w:val="21"/>
              </w:rPr>
              <w:t>审核员</w:t>
            </w:r>
          </w:p>
        </w:tc>
        <w:tc>
          <w:tcPr>
            <w:tcW w:w="1699" w:type="dxa"/>
            <w:vAlign w:val="center"/>
          </w:tcPr>
          <w:p>
            <w:pPr>
              <w:jc w:val="center"/>
              <w:rPr>
                <w:b/>
                <w:sz w:val="21"/>
                <w:szCs w:val="21"/>
              </w:rPr>
            </w:pPr>
            <w:r>
              <w:rPr>
                <w:b/>
                <w:sz w:val="21"/>
                <w:szCs w:val="21"/>
              </w:rPr>
              <w:t>2018-N1QMS-2207381</w:t>
            </w:r>
          </w:p>
        </w:tc>
        <w:tc>
          <w:tcPr>
            <w:tcW w:w="1728" w:type="dxa"/>
            <w:gridSpan w:val="2"/>
            <w:vAlign w:val="center"/>
          </w:tcPr>
          <w:p>
            <w:pPr>
              <w:jc w:val="center"/>
              <w:rPr>
                <w:b/>
                <w:sz w:val="21"/>
                <w:szCs w:val="21"/>
              </w:rPr>
            </w:pPr>
            <w:r>
              <w:rPr>
                <w:b/>
                <w:sz w:val="21"/>
                <w:szCs w:val="21"/>
              </w:rPr>
              <w:t>17.10.02</w:t>
            </w:r>
          </w:p>
        </w:tc>
        <w:tc>
          <w:tcPr>
            <w:tcW w:w="1729" w:type="dxa"/>
            <w:gridSpan w:val="2"/>
            <w:vAlign w:val="center"/>
          </w:tcPr>
          <w:p>
            <w:pPr>
              <w:jc w:val="center"/>
              <w:rPr>
                <w:b/>
                <w:sz w:val="21"/>
                <w:szCs w:val="21"/>
              </w:rPr>
            </w:pPr>
            <w:r>
              <w:rPr>
                <w:b/>
                <w:sz w:val="21"/>
                <w:szCs w:val="21"/>
              </w:rPr>
              <w:t>ISC-207381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10"/>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角色</w:t>
            </w:r>
          </w:p>
        </w:tc>
        <w:tc>
          <w:tcPr>
            <w:tcW w:w="6433" w:type="dxa"/>
            <w:gridSpan w:val="6"/>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1559" w:type="dxa"/>
            <w:vAlign w:val="center"/>
          </w:tcPr>
          <w:p>
            <w:pPr>
              <w:jc w:val="center"/>
              <w:rPr>
                <w:b/>
                <w:sz w:val="21"/>
                <w:szCs w:val="21"/>
              </w:rPr>
            </w:pPr>
          </w:p>
        </w:tc>
        <w:tc>
          <w:tcPr>
            <w:tcW w:w="6433" w:type="dxa"/>
            <w:gridSpan w:val="6"/>
            <w:vAlign w:val="center"/>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bl>
    <w:p>
      <w:pPr>
        <w:rPr>
          <w:rFonts w:ascii="宋体" w:hAnsi="宋体"/>
          <w:b/>
          <w:color w:val="000000"/>
          <w:sz w:val="26"/>
          <w:szCs w:val="26"/>
        </w:rPr>
      </w:pPr>
    </w:p>
    <w:p>
      <w:pPr>
        <w:tabs>
          <w:tab w:val="left" w:pos="645"/>
        </w:tabs>
        <w:rPr>
          <w:b/>
          <w:sz w:val="26"/>
          <w:szCs w:val="26"/>
        </w:rPr>
      </w:pPr>
      <w:r>
        <w:rPr>
          <w:rFonts w:hint="eastAsia"/>
          <w:b/>
          <w:sz w:val="26"/>
          <w:szCs w:val="26"/>
        </w:rPr>
        <w:t>二、审核目的</w:t>
      </w:r>
    </w:p>
    <w:p>
      <w:pPr>
        <w:tabs>
          <w:tab w:val="left" w:pos="645"/>
        </w:tabs>
        <w:rPr>
          <w:b/>
          <w:sz w:val="21"/>
          <w:szCs w:val="21"/>
        </w:rPr>
      </w:pPr>
      <w:bookmarkStart w:id="5" w:name="审核目的"/>
      <w:r>
        <w:rPr>
          <w:rFonts w:hint="eastAsia"/>
          <w:b/>
          <w:sz w:val="21"/>
          <w:szCs w:val="21"/>
        </w:rPr>
        <w:t>□认证注册：__________</w:t>
      </w:r>
    </w:p>
    <w:p>
      <w:pPr>
        <w:tabs>
          <w:tab w:val="left" w:pos="645"/>
        </w:tabs>
        <w:rPr>
          <w:b/>
          <w:sz w:val="21"/>
          <w:szCs w:val="21"/>
        </w:rPr>
      </w:pPr>
      <w:r>
        <w:rPr>
          <w:rFonts w:hint="eastAsia"/>
          <w:b/>
          <w:sz w:val="21"/>
          <w:szCs w:val="21"/>
        </w:rPr>
        <w:t>☑保持认证注册资格：_</w:t>
      </w:r>
      <w:r>
        <w:rPr>
          <w:rFonts w:hint="eastAsia"/>
          <w:b/>
          <w:sz w:val="21"/>
          <w:szCs w:val="21"/>
          <w:u w:val="single"/>
        </w:rPr>
        <w:t>_监督</w:t>
      </w:r>
      <w:r>
        <w:rPr>
          <w:rFonts w:hint="eastAsia"/>
          <w:b/>
          <w:sz w:val="21"/>
          <w:szCs w:val="21"/>
          <w:u w:val="single"/>
          <w:lang w:val="en-US" w:eastAsia="zh-CN"/>
        </w:rPr>
        <w:t>2</w:t>
      </w:r>
      <w:r>
        <w:rPr>
          <w:rFonts w:hint="eastAsia"/>
          <w:b/>
          <w:sz w:val="21"/>
          <w:szCs w:val="21"/>
          <w:u w:val="single"/>
        </w:rPr>
        <w:t>___</w:t>
      </w:r>
    </w:p>
    <w:p>
      <w:pPr>
        <w:tabs>
          <w:tab w:val="left" w:pos="645"/>
        </w:tabs>
        <w:rPr>
          <w:b/>
          <w:sz w:val="21"/>
          <w:szCs w:val="21"/>
        </w:rPr>
      </w:pPr>
      <w:r>
        <w:rPr>
          <w:rFonts w:hint="eastAsia"/>
          <w:b/>
          <w:sz w:val="21"/>
          <w:szCs w:val="21"/>
        </w:rPr>
        <w:t>□恢复认证注册资格：__________</w:t>
      </w:r>
    </w:p>
    <w:p>
      <w:pPr>
        <w:tabs>
          <w:tab w:val="left" w:pos="645"/>
        </w:tabs>
        <w:rPr>
          <w:b/>
          <w:sz w:val="21"/>
          <w:szCs w:val="21"/>
        </w:rPr>
      </w:pPr>
      <w:r>
        <w:rPr>
          <w:rFonts w:hint="eastAsia"/>
          <w:b/>
          <w:sz w:val="21"/>
          <w:szCs w:val="21"/>
        </w:rPr>
        <w:t>□扩大认证范围 ：</w:t>
      </w:r>
    </w:p>
    <w:p>
      <w:pPr>
        <w:tabs>
          <w:tab w:val="left" w:pos="645"/>
        </w:tabs>
        <w:rPr>
          <w:b/>
          <w:sz w:val="21"/>
          <w:szCs w:val="21"/>
        </w:rPr>
      </w:pPr>
      <w:r>
        <w:rPr>
          <w:rFonts w:hint="eastAsia"/>
          <w:b/>
          <w:sz w:val="21"/>
          <w:szCs w:val="21"/>
        </w:rPr>
        <w:t>□其它：__________</w:t>
      </w:r>
      <w:bookmarkEnd w:id="5"/>
    </w:p>
    <w:p>
      <w:pPr>
        <w:tabs>
          <w:tab w:val="left" w:pos="645"/>
        </w:tabs>
        <w:rPr>
          <w:b/>
          <w:sz w:val="16"/>
          <w:szCs w:val="16"/>
        </w:rPr>
      </w:pPr>
      <w:r>
        <w:rPr>
          <w:rFonts w:hint="eastAsia"/>
          <w:b/>
          <w:sz w:val="26"/>
          <w:szCs w:val="26"/>
        </w:rPr>
        <w:t>三、审核准则</w:t>
      </w:r>
    </w:p>
    <w:p>
      <w:pPr>
        <w:tabs>
          <w:tab w:val="left" w:pos="645"/>
        </w:tabs>
        <w:rPr>
          <w:b/>
          <w:sz w:val="21"/>
          <w:szCs w:val="21"/>
        </w:rPr>
      </w:pPr>
      <w:bookmarkStart w:id="6" w:name="Q勾选15Add"/>
      <w:r>
        <w:rPr>
          <w:rFonts w:hint="eastAsia"/>
          <w:b/>
          <w:sz w:val="21"/>
          <w:szCs w:val="21"/>
        </w:rPr>
        <w:t>■</w:t>
      </w:r>
      <w:bookmarkEnd w:id="6"/>
      <w:r>
        <w:rPr>
          <w:rFonts w:hint="eastAsia"/>
          <w:b/>
          <w:sz w:val="21"/>
          <w:szCs w:val="21"/>
        </w:rPr>
        <w:t xml:space="preserve"> GB/T 19001:2016 idt ISO 9001:2015标准不适用条款: 8.3</w:t>
      </w:r>
    </w:p>
    <w:p>
      <w:pPr>
        <w:tabs>
          <w:tab w:val="left" w:pos="645"/>
        </w:tabs>
        <w:rPr>
          <w:b/>
          <w:sz w:val="21"/>
          <w:szCs w:val="21"/>
        </w:rPr>
      </w:pPr>
      <w:bookmarkStart w:id="7" w:name="QJ勾选Add"/>
      <w:r>
        <w:rPr>
          <w:rFonts w:hint="eastAsia"/>
          <w:b/>
          <w:sz w:val="21"/>
          <w:szCs w:val="21"/>
        </w:rPr>
        <w:t>□</w:t>
      </w:r>
      <w:bookmarkEnd w:id="7"/>
      <w:r>
        <w:rPr>
          <w:rFonts w:hint="eastAsia"/>
          <w:b/>
          <w:sz w:val="21"/>
          <w:szCs w:val="21"/>
        </w:rPr>
        <w:t xml:space="preserve"> GB/T 50430-2017标准不适用条款: </w:t>
      </w:r>
    </w:p>
    <w:p>
      <w:pPr>
        <w:tabs>
          <w:tab w:val="left" w:pos="645"/>
        </w:tabs>
        <w:rPr>
          <w:b/>
          <w:sz w:val="21"/>
          <w:szCs w:val="21"/>
        </w:rPr>
      </w:pPr>
      <w:bookmarkStart w:id="8" w:name="E勾选Add"/>
      <w:r>
        <w:rPr>
          <w:rFonts w:hint="eastAsia"/>
          <w:b/>
          <w:sz w:val="21"/>
          <w:szCs w:val="21"/>
        </w:rPr>
        <w:t>□</w:t>
      </w:r>
      <w:bookmarkEnd w:id="8"/>
      <w:r>
        <w:rPr>
          <w:rFonts w:hint="eastAsia"/>
          <w:b/>
          <w:sz w:val="21"/>
          <w:szCs w:val="21"/>
        </w:rPr>
        <w:t xml:space="preserve"> GB/T 24001-2016 idt ISO 14001:2015标准</w:t>
      </w:r>
    </w:p>
    <w:p>
      <w:pPr>
        <w:tabs>
          <w:tab w:val="left" w:pos="645"/>
        </w:tabs>
        <w:rPr>
          <w:b/>
          <w:sz w:val="21"/>
          <w:szCs w:val="21"/>
        </w:rPr>
      </w:pPr>
      <w:bookmarkStart w:id="9" w:name="S勾选Add"/>
      <w:r>
        <w:rPr>
          <w:rFonts w:hint="eastAsia"/>
          <w:b/>
          <w:sz w:val="21"/>
          <w:szCs w:val="21"/>
        </w:rPr>
        <w:t>□</w:t>
      </w:r>
      <w:bookmarkEnd w:id="9"/>
      <w:r>
        <w:rPr>
          <w:rFonts w:hint="eastAsia"/>
          <w:b/>
          <w:sz w:val="21"/>
          <w:szCs w:val="21"/>
        </w:rPr>
        <w:t xml:space="preserve"> GB/T 28001-2011 idt OHSMS 18001:2007标准</w:t>
      </w:r>
    </w:p>
    <w:p>
      <w:pPr>
        <w:tabs>
          <w:tab w:val="left" w:pos="645"/>
        </w:tabs>
        <w:rPr>
          <w:b/>
          <w:sz w:val="21"/>
          <w:szCs w:val="21"/>
        </w:rPr>
      </w:pPr>
      <w:bookmarkStart w:id="10" w:name="S勾选Add1"/>
      <w:r>
        <w:rPr>
          <w:rFonts w:hint="eastAsia"/>
          <w:b/>
          <w:sz w:val="21"/>
          <w:szCs w:val="21"/>
        </w:rPr>
        <w:t>□</w:t>
      </w:r>
      <w:bookmarkEnd w:id="10"/>
      <w:r>
        <w:rPr>
          <w:rFonts w:hint="eastAsia"/>
          <w:b/>
          <w:sz w:val="21"/>
          <w:szCs w:val="21"/>
        </w:rPr>
        <w:t xml:space="preserve"> ISO45001：2018标准</w:t>
      </w:r>
    </w:p>
    <w:p>
      <w:pPr>
        <w:tabs>
          <w:tab w:val="left" w:pos="645"/>
        </w:tabs>
        <w:rPr>
          <w:b/>
          <w:sz w:val="21"/>
          <w:szCs w:val="21"/>
        </w:rPr>
      </w:pPr>
      <w:r>
        <w:rPr>
          <w:rFonts w:hint="eastAsia"/>
          <w:b/>
          <w:sz w:val="21"/>
          <w:szCs w:val="21"/>
        </w:rPr>
        <w:t>☑受审核方管理体系文件☑适用的法律法规☑认证合同</w:t>
      </w:r>
    </w:p>
    <w:p>
      <w:pPr>
        <w:tabs>
          <w:tab w:val="left" w:pos="645"/>
        </w:tabs>
        <w:rPr>
          <w:b/>
          <w:sz w:val="21"/>
          <w:szCs w:val="21"/>
        </w:rPr>
      </w:pPr>
    </w:p>
    <w:p>
      <w:pPr>
        <w:tabs>
          <w:tab w:val="left" w:pos="645"/>
        </w:tabs>
        <w:rPr>
          <w:b/>
          <w:sz w:val="21"/>
          <w:szCs w:val="21"/>
        </w:rPr>
      </w:pPr>
    </w:p>
    <w:p>
      <w:pPr>
        <w:tabs>
          <w:tab w:val="left" w:pos="645"/>
        </w:tabs>
        <w:rPr>
          <w:b/>
          <w:sz w:val="21"/>
          <w:szCs w:val="21"/>
        </w:rPr>
      </w:pPr>
    </w:p>
    <w:p>
      <w:pPr>
        <w:tabs>
          <w:tab w:val="left" w:pos="645"/>
        </w:tabs>
        <w:rPr>
          <w:b/>
          <w:sz w:val="21"/>
          <w:szCs w:val="21"/>
        </w:rPr>
      </w:pPr>
    </w:p>
    <w:p>
      <w:pPr>
        <w:tabs>
          <w:tab w:val="left" w:pos="645"/>
        </w:tabs>
        <w:rPr>
          <w:b/>
          <w:sz w:val="21"/>
          <w:szCs w:val="21"/>
        </w:rPr>
      </w:pPr>
    </w:p>
    <w:p>
      <w:pPr>
        <w:tabs>
          <w:tab w:val="left" w:pos="645"/>
        </w:tabs>
        <w:rPr>
          <w:b/>
          <w:sz w:val="21"/>
          <w:szCs w:val="21"/>
        </w:rPr>
      </w:pPr>
    </w:p>
    <w:p>
      <w:pPr>
        <w:numPr>
          <w:ilvl w:val="0"/>
          <w:numId w:val="1"/>
        </w:numPr>
        <w:tabs>
          <w:tab w:val="left" w:pos="645"/>
        </w:tabs>
        <w:rPr>
          <w:b/>
          <w:sz w:val="26"/>
          <w:szCs w:val="26"/>
        </w:rPr>
      </w:pPr>
      <w:r>
        <w:rPr>
          <w:rFonts w:hint="eastAsia"/>
          <w:b/>
          <w:sz w:val="26"/>
          <w:szCs w:val="26"/>
        </w:rPr>
        <w:t>受审核方基本信息</w:t>
      </w:r>
    </w:p>
    <w:tbl>
      <w:tblPr>
        <w:tblStyle w:val="6"/>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177"/>
        <w:gridCol w:w="1689"/>
        <w:gridCol w:w="1109"/>
        <w:gridCol w:w="1609"/>
        <w:gridCol w:w="9"/>
        <w:gridCol w:w="1167"/>
        <w:gridCol w:w="20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218" w:type="dxa"/>
            <w:gridSpan w:val="2"/>
            <w:vAlign w:val="center"/>
          </w:tcPr>
          <w:p>
            <w:pPr>
              <w:spacing w:line="260" w:lineRule="exact"/>
              <w:jc w:val="center"/>
              <w:rPr>
                <w:rFonts w:ascii="宋体"/>
                <w:b/>
                <w:sz w:val="16"/>
                <w:szCs w:val="16"/>
              </w:rPr>
            </w:pPr>
            <w:r>
              <w:rPr>
                <w:rFonts w:hint="eastAsia" w:ascii="宋体" w:hAnsi="宋体"/>
                <w:b/>
                <w:sz w:val="21"/>
              </w:rPr>
              <w:t>受审核方名称</w:t>
            </w:r>
          </w:p>
        </w:tc>
        <w:tc>
          <w:tcPr>
            <w:tcW w:w="4416" w:type="dxa"/>
            <w:gridSpan w:val="4"/>
          </w:tcPr>
          <w:p>
            <w:pPr>
              <w:rPr>
                <w:rFonts w:ascii="宋体"/>
                <w:b/>
                <w:sz w:val="21"/>
                <w:szCs w:val="22"/>
              </w:rPr>
            </w:pPr>
            <w:bookmarkStart w:id="11" w:name="组织名称Add"/>
            <w:r>
              <w:rPr>
                <w:rFonts w:ascii="宋体"/>
                <w:b/>
                <w:sz w:val="21"/>
                <w:szCs w:val="22"/>
              </w:rPr>
              <w:t>重庆宾鹏科技有限公司</w:t>
            </w:r>
            <w:bookmarkEnd w:id="11"/>
          </w:p>
        </w:tc>
        <w:tc>
          <w:tcPr>
            <w:tcW w:w="1167" w:type="dxa"/>
            <w:vAlign w:val="center"/>
          </w:tcPr>
          <w:p>
            <w:pPr>
              <w:spacing w:line="260" w:lineRule="exact"/>
              <w:jc w:val="center"/>
              <w:rPr>
                <w:rFonts w:ascii="宋体"/>
                <w:b/>
                <w:sz w:val="21"/>
              </w:rPr>
            </w:pPr>
            <w:r>
              <w:rPr>
                <w:rFonts w:hint="eastAsia" w:ascii="宋体" w:hAnsi="宋体"/>
                <w:b/>
                <w:sz w:val="21"/>
              </w:rPr>
              <w:t>组织人数及</w:t>
            </w:r>
          </w:p>
          <w:p>
            <w:pPr>
              <w:spacing w:line="200" w:lineRule="exact"/>
              <w:rPr>
                <w:b/>
                <w:spacing w:val="-20"/>
              </w:rPr>
            </w:pPr>
            <w:r>
              <w:rPr>
                <w:rFonts w:hint="eastAsia" w:ascii="宋体" w:hAnsi="宋体"/>
                <w:b/>
                <w:sz w:val="21"/>
              </w:rPr>
              <w:t>变动情况核实</w:t>
            </w:r>
          </w:p>
        </w:tc>
        <w:tc>
          <w:tcPr>
            <w:tcW w:w="2005" w:type="dxa"/>
          </w:tcPr>
          <w:p>
            <w:pPr>
              <w:spacing w:line="260" w:lineRule="exact"/>
              <w:rPr>
                <w:rFonts w:hint="default" w:ascii="宋体" w:eastAsia="宋体"/>
                <w:b/>
                <w:sz w:val="21"/>
                <w:lang w:val="en-US" w:eastAsia="zh-CN"/>
              </w:rPr>
            </w:pPr>
            <w:r>
              <w:rPr>
                <w:rFonts w:hint="eastAsia" w:ascii="宋体"/>
                <w:b/>
                <w:sz w:val="21"/>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218" w:type="dxa"/>
            <w:gridSpan w:val="2"/>
            <w:vAlign w:val="center"/>
          </w:tcPr>
          <w:p>
            <w:pPr>
              <w:jc w:val="center"/>
              <w:rPr>
                <w:b/>
                <w:sz w:val="16"/>
                <w:szCs w:val="16"/>
              </w:rPr>
            </w:pPr>
            <w:r>
              <w:rPr>
                <w:rFonts w:hint="eastAsia" w:ascii="宋体" w:hAnsi="宋体"/>
                <w:b/>
                <w:sz w:val="21"/>
                <w:szCs w:val="21"/>
              </w:rPr>
              <w:t>注册地址</w:t>
            </w:r>
          </w:p>
        </w:tc>
        <w:tc>
          <w:tcPr>
            <w:tcW w:w="4416" w:type="dxa"/>
            <w:gridSpan w:val="4"/>
          </w:tcPr>
          <w:p>
            <w:pPr>
              <w:rPr>
                <w:rFonts w:ascii="宋体"/>
                <w:b/>
                <w:sz w:val="21"/>
              </w:rPr>
            </w:pPr>
            <w:bookmarkStart w:id="12" w:name="注册地址"/>
            <w:r>
              <w:rPr>
                <w:rFonts w:ascii="宋体"/>
                <w:b/>
                <w:sz w:val="21"/>
              </w:rPr>
              <w:t>重庆市大渡口区新山村街道建设村45-6号</w:t>
            </w:r>
            <w:bookmarkEnd w:id="12"/>
          </w:p>
        </w:tc>
        <w:tc>
          <w:tcPr>
            <w:tcW w:w="1167" w:type="dxa"/>
            <w:vMerge w:val="restart"/>
            <w:vAlign w:val="center"/>
          </w:tcPr>
          <w:p>
            <w:pPr>
              <w:jc w:val="center"/>
              <w:rPr>
                <w:rFonts w:ascii="宋体"/>
                <w:b/>
                <w:sz w:val="21"/>
              </w:rPr>
            </w:pPr>
            <w:r>
              <w:rPr>
                <w:rFonts w:hint="eastAsia" w:ascii="宋体" w:hAnsi="宋体"/>
                <w:b/>
                <w:sz w:val="21"/>
              </w:rPr>
              <w:t>邮编</w:t>
            </w:r>
          </w:p>
        </w:tc>
        <w:tc>
          <w:tcPr>
            <w:tcW w:w="2005" w:type="dxa"/>
          </w:tcPr>
          <w:p>
            <w:pPr>
              <w:rPr>
                <w:rFonts w:ascii="宋体"/>
                <w:b/>
                <w:sz w:val="21"/>
              </w:rPr>
            </w:pPr>
            <w:bookmarkStart w:id="13" w:name="注册邮编"/>
            <w:r>
              <w:rPr>
                <w:rFonts w:ascii="宋体"/>
                <w:b/>
                <w:sz w:val="21"/>
              </w:rPr>
              <w:t>400000</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18" w:type="dxa"/>
            <w:gridSpan w:val="2"/>
            <w:vAlign w:val="center"/>
          </w:tcPr>
          <w:p>
            <w:pPr>
              <w:jc w:val="center"/>
              <w:rPr>
                <w:rFonts w:ascii="宋体"/>
                <w:b/>
                <w:sz w:val="21"/>
                <w:szCs w:val="21"/>
              </w:rPr>
            </w:pPr>
            <w:r>
              <w:rPr>
                <w:rFonts w:hint="eastAsia" w:ascii="宋体" w:hAnsi="宋体"/>
                <w:b/>
                <w:sz w:val="21"/>
                <w:szCs w:val="21"/>
              </w:rPr>
              <w:t>经营地址</w:t>
            </w:r>
          </w:p>
        </w:tc>
        <w:tc>
          <w:tcPr>
            <w:tcW w:w="4416" w:type="dxa"/>
            <w:gridSpan w:val="4"/>
          </w:tcPr>
          <w:p>
            <w:pPr>
              <w:rPr>
                <w:rFonts w:ascii="宋体"/>
                <w:b/>
                <w:sz w:val="21"/>
              </w:rPr>
            </w:pPr>
            <w:bookmarkStart w:id="14" w:name="办公地址"/>
            <w:r>
              <w:rPr>
                <w:rFonts w:ascii="宋体"/>
                <w:b/>
                <w:sz w:val="21"/>
              </w:rPr>
              <w:t>重庆市江津区双福街道福安路1号二期4幢1号厂房</w:t>
            </w:r>
            <w:bookmarkEnd w:id="14"/>
          </w:p>
        </w:tc>
        <w:tc>
          <w:tcPr>
            <w:tcW w:w="1167" w:type="dxa"/>
            <w:vMerge w:val="continue"/>
            <w:vAlign w:val="center"/>
          </w:tcPr>
          <w:p>
            <w:pPr>
              <w:jc w:val="center"/>
              <w:rPr>
                <w:rFonts w:ascii="宋体"/>
                <w:b/>
                <w:sz w:val="21"/>
              </w:rPr>
            </w:pPr>
          </w:p>
        </w:tc>
        <w:tc>
          <w:tcPr>
            <w:tcW w:w="2005" w:type="dxa"/>
          </w:tcPr>
          <w:p>
            <w:pPr>
              <w:rPr>
                <w:rFonts w:ascii="宋体"/>
                <w:b/>
                <w:sz w:val="21"/>
              </w:rPr>
            </w:pPr>
            <w:bookmarkStart w:id="15" w:name="办公邮编"/>
            <w:r>
              <w:rPr>
                <w:rFonts w:ascii="宋体"/>
                <w:b/>
                <w:sz w:val="21"/>
              </w:rPr>
              <w:t>400000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218"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4416" w:type="dxa"/>
            <w:gridSpan w:val="4"/>
          </w:tcPr>
          <w:p>
            <w:pPr>
              <w:rPr>
                <w:rFonts w:ascii="宋体"/>
                <w:b/>
                <w:sz w:val="21"/>
              </w:rPr>
            </w:pPr>
            <w:bookmarkStart w:id="16" w:name="生产地址Add"/>
            <w:r>
              <w:rPr>
                <w:rFonts w:ascii="宋体"/>
                <w:b/>
                <w:sz w:val="21"/>
              </w:rPr>
              <w:t>重庆市江津区双福街道福安路1号二期4幢1号厂房</w:t>
            </w:r>
            <w:bookmarkEnd w:id="16"/>
          </w:p>
        </w:tc>
        <w:tc>
          <w:tcPr>
            <w:tcW w:w="1167" w:type="dxa"/>
            <w:vMerge w:val="continue"/>
            <w:vAlign w:val="center"/>
          </w:tcPr>
          <w:p>
            <w:pPr>
              <w:jc w:val="center"/>
              <w:rPr>
                <w:rFonts w:ascii="宋体"/>
                <w:b/>
                <w:sz w:val="21"/>
              </w:rPr>
            </w:pPr>
          </w:p>
        </w:tc>
        <w:tc>
          <w:tcPr>
            <w:tcW w:w="2005" w:type="dxa"/>
          </w:tcPr>
          <w:p>
            <w:pPr>
              <w:rPr>
                <w:rFonts w:ascii="宋体"/>
                <w:b/>
                <w:sz w:val="21"/>
              </w:rPr>
            </w:pPr>
            <w:bookmarkStart w:id="17" w:name="生产邮编"/>
            <w:r>
              <w:rPr>
                <w:rFonts w:ascii="宋体"/>
                <w:b/>
                <w:sz w:val="21"/>
              </w:rPr>
              <w:t>400000</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218" w:type="dxa"/>
            <w:gridSpan w:val="2"/>
            <w:vAlign w:val="center"/>
          </w:tcPr>
          <w:p>
            <w:pPr>
              <w:jc w:val="center"/>
              <w:rPr>
                <w:rFonts w:ascii="宋体"/>
                <w:b/>
                <w:sz w:val="21"/>
              </w:rPr>
            </w:pPr>
            <w:r>
              <w:rPr>
                <w:rFonts w:hint="eastAsia" w:ascii="宋体" w:hAnsi="宋体"/>
                <w:b/>
                <w:sz w:val="21"/>
              </w:rPr>
              <w:t>联系人</w:t>
            </w:r>
          </w:p>
        </w:tc>
        <w:tc>
          <w:tcPr>
            <w:tcW w:w="1689" w:type="dxa"/>
          </w:tcPr>
          <w:p>
            <w:pPr>
              <w:rPr>
                <w:rFonts w:ascii="宋体"/>
                <w:b/>
                <w:sz w:val="21"/>
              </w:rPr>
            </w:pPr>
            <w:bookmarkStart w:id="18" w:name="联系人"/>
            <w:r>
              <w:rPr>
                <w:rFonts w:ascii="宋体"/>
                <w:b/>
                <w:sz w:val="21"/>
              </w:rPr>
              <w:t>文永彬</w:t>
            </w:r>
            <w:bookmarkEnd w:id="18"/>
          </w:p>
        </w:tc>
        <w:tc>
          <w:tcPr>
            <w:tcW w:w="1109" w:type="dxa"/>
            <w:vAlign w:val="center"/>
          </w:tcPr>
          <w:p>
            <w:pPr>
              <w:jc w:val="center"/>
              <w:rPr>
                <w:rFonts w:ascii="宋体"/>
                <w:b/>
                <w:sz w:val="21"/>
              </w:rPr>
            </w:pPr>
            <w:r>
              <w:rPr>
                <w:rFonts w:hint="eastAsia" w:ascii="宋体" w:hAnsi="宋体"/>
                <w:b/>
                <w:sz w:val="21"/>
              </w:rPr>
              <w:t>电话</w:t>
            </w:r>
            <w:r>
              <w:rPr>
                <w:b/>
                <w:sz w:val="16"/>
                <w:szCs w:val="16"/>
              </w:rPr>
              <w:t>.</w:t>
            </w:r>
          </w:p>
        </w:tc>
        <w:tc>
          <w:tcPr>
            <w:tcW w:w="1618" w:type="dxa"/>
            <w:gridSpan w:val="2"/>
            <w:vAlign w:val="center"/>
          </w:tcPr>
          <w:p>
            <w:pPr>
              <w:jc w:val="center"/>
              <w:rPr>
                <w:rFonts w:ascii="宋体"/>
                <w:b/>
                <w:sz w:val="21"/>
              </w:rPr>
            </w:pPr>
            <w:bookmarkStart w:id="19" w:name="联系人电话Add"/>
            <w:r>
              <w:rPr>
                <w:rFonts w:ascii="宋体"/>
                <w:b/>
                <w:sz w:val="21"/>
              </w:rPr>
              <w:t>02368876549</w:t>
            </w:r>
            <w:bookmarkEnd w:id="19"/>
          </w:p>
        </w:tc>
        <w:tc>
          <w:tcPr>
            <w:tcW w:w="1167" w:type="dxa"/>
            <w:vAlign w:val="center"/>
          </w:tcPr>
          <w:p>
            <w:pPr>
              <w:jc w:val="center"/>
              <w:rPr>
                <w:rFonts w:ascii="宋体"/>
                <w:b/>
                <w:sz w:val="21"/>
              </w:rPr>
            </w:pPr>
            <w:r>
              <w:rPr>
                <w:rFonts w:hint="eastAsia" w:ascii="宋体" w:hAnsi="宋体"/>
                <w:b/>
                <w:sz w:val="21"/>
              </w:rPr>
              <w:t>传真</w:t>
            </w:r>
          </w:p>
        </w:tc>
        <w:tc>
          <w:tcPr>
            <w:tcW w:w="2005" w:type="dxa"/>
          </w:tcPr>
          <w:p>
            <w:pPr>
              <w:rPr>
                <w:rFonts w:ascii="宋体"/>
                <w:b/>
                <w:sz w:val="21"/>
              </w:rPr>
            </w:pPr>
            <w:bookmarkStart w:id="20" w:name="联系人传真"/>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1689" w:type="dxa"/>
          </w:tcPr>
          <w:p>
            <w:pPr>
              <w:rPr>
                <w:rFonts w:ascii="宋体" w:hAnsi="宋体"/>
                <w:b/>
                <w:sz w:val="21"/>
                <w:szCs w:val="21"/>
              </w:rPr>
            </w:pPr>
            <w:bookmarkStart w:id="21" w:name="法人"/>
            <w:r>
              <w:rPr>
                <w:rFonts w:ascii="宋体" w:hAnsi="宋体"/>
                <w:b/>
                <w:sz w:val="21"/>
                <w:szCs w:val="21"/>
              </w:rPr>
              <w:t>文永彬</w:t>
            </w:r>
            <w:bookmarkEnd w:id="21"/>
          </w:p>
        </w:tc>
        <w:tc>
          <w:tcPr>
            <w:tcW w:w="1109" w:type="dxa"/>
            <w:vAlign w:val="center"/>
          </w:tcPr>
          <w:p>
            <w:pPr>
              <w:jc w:val="center"/>
              <w:rPr>
                <w:rFonts w:ascii="宋体" w:hAnsi="宋体"/>
                <w:b/>
                <w:sz w:val="21"/>
                <w:szCs w:val="21"/>
              </w:rPr>
            </w:pPr>
            <w:r>
              <w:rPr>
                <w:rFonts w:hint="eastAsia" w:ascii="宋体" w:hAnsi="宋体"/>
                <w:b/>
                <w:sz w:val="21"/>
                <w:szCs w:val="21"/>
              </w:rPr>
              <w:t>总经理</w:t>
            </w:r>
          </w:p>
        </w:tc>
        <w:tc>
          <w:tcPr>
            <w:tcW w:w="1618" w:type="dxa"/>
            <w:gridSpan w:val="2"/>
          </w:tcPr>
          <w:p>
            <w:pPr>
              <w:rPr>
                <w:rFonts w:ascii="宋体" w:hAnsi="宋体"/>
                <w:b/>
                <w:sz w:val="21"/>
                <w:szCs w:val="21"/>
              </w:rPr>
            </w:pPr>
          </w:p>
        </w:tc>
        <w:tc>
          <w:tcPr>
            <w:tcW w:w="1167" w:type="dxa"/>
            <w:vAlign w:val="center"/>
          </w:tcPr>
          <w:p>
            <w:pPr>
              <w:jc w:val="center"/>
              <w:rPr>
                <w:rFonts w:ascii="宋体" w:hAnsi="宋体"/>
                <w:b/>
                <w:sz w:val="21"/>
                <w:szCs w:val="21"/>
              </w:rPr>
            </w:pPr>
            <w:r>
              <w:rPr>
                <w:rFonts w:hint="eastAsia" w:ascii="宋体" w:hAnsi="宋体"/>
                <w:b/>
                <w:sz w:val="21"/>
                <w:szCs w:val="21"/>
              </w:rPr>
              <w:t>管理者代表</w:t>
            </w:r>
          </w:p>
        </w:tc>
        <w:tc>
          <w:tcPr>
            <w:tcW w:w="2005" w:type="dxa"/>
          </w:tcPr>
          <w:p>
            <w:pPr>
              <w:rPr>
                <w:rFonts w:ascii="宋体"/>
                <w:b/>
                <w:sz w:val="21"/>
              </w:rPr>
            </w:pPr>
            <w:bookmarkStart w:id="22" w:name="管理者代表"/>
            <w:r>
              <w:rPr>
                <w:rFonts w:ascii="宋体"/>
                <w:b/>
                <w:sz w:val="21"/>
              </w:rPr>
              <w:t>刘中万</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2798" w:type="dxa"/>
            <w:gridSpan w:val="2"/>
            <w:vAlign w:val="center"/>
          </w:tcPr>
          <w:p>
            <w:pPr>
              <w:rPr>
                <w:rFonts w:ascii="宋体" w:hAnsi="宋体"/>
                <w:b/>
                <w:sz w:val="21"/>
                <w:szCs w:val="21"/>
              </w:rPr>
            </w:pPr>
            <w:r>
              <w:rPr>
                <w:rFonts w:ascii="宋体" w:hAnsi="宋体"/>
                <w:b/>
                <w:sz w:val="21"/>
                <w:szCs w:val="21"/>
              </w:rPr>
              <w:t>2021年06月23日 上午至2021年06月23日 下午</w:t>
            </w:r>
          </w:p>
        </w:tc>
        <w:tc>
          <w:tcPr>
            <w:tcW w:w="1609" w:type="dxa"/>
            <w:vAlign w:val="center"/>
          </w:tcPr>
          <w:p>
            <w:pPr>
              <w:rPr>
                <w:rFonts w:ascii="宋体" w:hAnsi="宋体"/>
                <w:b/>
                <w:sz w:val="21"/>
                <w:szCs w:val="21"/>
              </w:rPr>
            </w:pPr>
            <w:r>
              <w:rPr>
                <w:rFonts w:hint="eastAsia" w:ascii="宋体" w:hAnsi="宋体"/>
                <w:b/>
                <w:sz w:val="21"/>
                <w:szCs w:val="21"/>
              </w:rPr>
              <w:t>一体化审核</w:t>
            </w:r>
          </w:p>
        </w:tc>
        <w:tc>
          <w:tcPr>
            <w:tcW w:w="3181" w:type="dxa"/>
            <w:gridSpan w:val="3"/>
            <w:vAlign w:val="center"/>
          </w:tcPr>
          <w:p>
            <w:pPr>
              <w:rPr>
                <w:rFonts w:ascii="宋体" w:hAnsi="宋体"/>
                <w:b/>
                <w:sz w:val="21"/>
                <w:szCs w:val="21"/>
              </w:rPr>
            </w:pPr>
            <w:r>
              <w:rPr>
                <w:rFonts w:hint="eastAsia" w:ascii="宋体" w:hAnsi="宋体"/>
                <w:b/>
                <w:sz w:val="21"/>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588" w:type="dxa"/>
            <w:gridSpan w:val="6"/>
          </w:tcPr>
          <w:p>
            <w:pPr>
              <w:spacing w:line="360" w:lineRule="exact"/>
              <w:rPr>
                <w:rFonts w:ascii="宋体" w:hAnsi="宋体"/>
                <w:b/>
                <w:sz w:val="21"/>
                <w:szCs w:val="21"/>
              </w:rPr>
            </w:pPr>
            <w:bookmarkStart w:id="23" w:name="Q勾选15Add1"/>
            <w:r>
              <w:rPr>
                <w:rFonts w:hint="eastAsia" w:ascii="宋体" w:hAnsi="宋体"/>
                <w:b/>
                <w:sz w:val="21"/>
                <w:szCs w:val="21"/>
              </w:rPr>
              <w:t>■</w:t>
            </w:r>
            <w:bookmarkEnd w:id="23"/>
            <w:r>
              <w:rPr>
                <w:rFonts w:ascii="宋体" w:hAnsi="宋体"/>
                <w:b/>
                <w:sz w:val="21"/>
                <w:szCs w:val="21"/>
              </w:rPr>
              <w:t>QMS</w:t>
            </w:r>
            <w:r>
              <w:rPr>
                <w:rFonts w:hint="eastAsia" w:ascii="宋体" w:hAnsi="宋体"/>
                <w:b/>
                <w:sz w:val="21"/>
                <w:szCs w:val="21"/>
              </w:rPr>
              <w:t>：</w:t>
            </w:r>
            <w:bookmarkStart w:id="24" w:name="审核范围"/>
            <w:bookmarkStart w:id="25" w:name="QJ勾选Add1"/>
            <w:r>
              <w:rPr>
                <w:rFonts w:ascii="宋体" w:hAnsi="宋体"/>
                <w:b/>
                <w:sz w:val="21"/>
                <w:szCs w:val="21"/>
              </w:rPr>
              <w:t>声测管、镀锌管和套筒的生产</w:t>
            </w:r>
            <w:bookmarkEnd w:id="24"/>
            <w:r>
              <w:rPr>
                <w:rFonts w:hint="eastAsia" w:ascii="宋体" w:hAnsi="宋体"/>
                <w:b/>
                <w:sz w:val="21"/>
                <w:szCs w:val="21"/>
              </w:rPr>
              <w:t>□</w:t>
            </w:r>
            <w:bookmarkEnd w:id="25"/>
            <w:r>
              <w:rPr>
                <w:rFonts w:hint="eastAsia" w:ascii="宋体" w:hAnsi="宋体"/>
                <w:b/>
                <w:sz w:val="21"/>
                <w:szCs w:val="21"/>
              </w:rPr>
              <w:t>5</w:t>
            </w:r>
            <w:r>
              <w:rPr>
                <w:rFonts w:ascii="宋体" w:hAnsi="宋体"/>
                <w:b/>
                <w:sz w:val="21"/>
                <w:szCs w:val="21"/>
              </w:rPr>
              <w:t>0430</w:t>
            </w:r>
          </w:p>
          <w:p>
            <w:pPr>
              <w:spacing w:line="360" w:lineRule="exact"/>
              <w:rPr>
                <w:rFonts w:ascii="宋体" w:hAnsi="宋体"/>
                <w:b/>
                <w:sz w:val="21"/>
                <w:szCs w:val="21"/>
              </w:rPr>
            </w:pPr>
            <w:bookmarkStart w:id="26" w:name="E勾选Add1"/>
            <w:r>
              <w:rPr>
                <w:rFonts w:hint="eastAsia" w:ascii="宋体" w:hAnsi="宋体"/>
                <w:b/>
                <w:sz w:val="21"/>
                <w:szCs w:val="21"/>
              </w:rPr>
              <w:t>□</w:t>
            </w:r>
            <w:bookmarkEnd w:id="26"/>
            <w:r>
              <w:rPr>
                <w:rFonts w:ascii="宋体" w:hAnsi="宋体"/>
                <w:b/>
                <w:sz w:val="21"/>
                <w:szCs w:val="21"/>
              </w:rPr>
              <w:t>EMS</w:t>
            </w:r>
            <w:r>
              <w:rPr>
                <w:rFonts w:hint="eastAsia" w:ascii="宋体" w:hAnsi="宋体"/>
                <w:b/>
                <w:sz w:val="21"/>
                <w:szCs w:val="21"/>
              </w:rPr>
              <w:t>：</w:t>
            </w:r>
          </w:p>
          <w:p>
            <w:pPr>
              <w:spacing w:line="360" w:lineRule="exact"/>
              <w:rPr>
                <w:rFonts w:ascii="宋体" w:hAnsi="宋体"/>
                <w:b/>
                <w:sz w:val="21"/>
                <w:szCs w:val="21"/>
              </w:rPr>
            </w:pPr>
            <w:bookmarkStart w:id="27" w:name="S勾选Add2"/>
            <w:r>
              <w:rPr>
                <w:rFonts w:hint="eastAsia" w:ascii="宋体" w:hAnsi="宋体"/>
                <w:b/>
                <w:sz w:val="21"/>
                <w:szCs w:val="21"/>
              </w:rPr>
              <w:t>□</w:t>
            </w:r>
            <w:bookmarkEnd w:id="27"/>
            <w:r>
              <w:rPr>
                <w:rFonts w:ascii="宋体" w:hAnsi="宋体"/>
                <w:b/>
                <w:sz w:val="21"/>
                <w:szCs w:val="21"/>
              </w:rPr>
              <w:t>OHSMS</w:t>
            </w: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1177" w:type="dxa"/>
            <w:vAlign w:val="center"/>
          </w:tcPr>
          <w:p>
            <w:pPr>
              <w:spacing w:line="260" w:lineRule="exact"/>
              <w:rPr>
                <w:rFonts w:ascii="宋体" w:hAnsi="宋体"/>
                <w:b/>
                <w:sz w:val="21"/>
                <w:szCs w:val="21"/>
              </w:rPr>
            </w:pPr>
            <w:r>
              <w:rPr>
                <w:rFonts w:hint="eastAsia" w:ascii="宋体" w:hAnsi="宋体"/>
                <w:b/>
                <w:sz w:val="21"/>
                <w:szCs w:val="21"/>
              </w:rPr>
              <w:t>□是</w:t>
            </w:r>
          </w:p>
          <w:p>
            <w:pPr>
              <w:spacing w:line="260" w:lineRule="exact"/>
              <w:jc w:val="center"/>
              <w:rPr>
                <w:rFonts w:ascii="宋体" w:hAnsi="宋体"/>
                <w:b/>
                <w:sz w:val="21"/>
                <w:szCs w:val="21"/>
              </w:rPr>
            </w:pPr>
          </w:p>
          <w:p>
            <w:pPr>
              <w:spacing w:line="260" w:lineRule="exact"/>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否</w:t>
            </w:r>
          </w:p>
        </w:tc>
        <w:tc>
          <w:tcPr>
            <w:tcW w:w="7588" w:type="dxa"/>
            <w:gridSpan w:val="6"/>
          </w:tcPr>
          <w:p>
            <w:pPr>
              <w:spacing w:line="360" w:lineRule="exact"/>
              <w:rPr>
                <w:rFonts w:ascii="宋体" w:hAnsi="宋体"/>
                <w:b/>
                <w:sz w:val="21"/>
                <w:szCs w:val="21"/>
              </w:rPr>
            </w:pPr>
            <w:r>
              <w:rPr>
                <w:rFonts w:hint="eastAsia" w:ascii="宋体" w:hAnsi="宋体"/>
                <w:b/>
                <w:sz w:val="21"/>
                <w:szCs w:val="21"/>
              </w:rPr>
              <w:t>变更的认证范围</w:t>
            </w: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1689" w:type="dxa"/>
          </w:tcPr>
          <w:p>
            <w:pPr>
              <w:spacing w:line="260" w:lineRule="exact"/>
              <w:rPr>
                <w:rFonts w:ascii="宋体" w:hAnsi="宋体"/>
                <w:b/>
                <w:sz w:val="21"/>
                <w:szCs w:val="21"/>
              </w:rPr>
            </w:pPr>
            <w:bookmarkStart w:id="28" w:name="专业代码"/>
            <w:r>
              <w:rPr>
                <w:rFonts w:ascii="宋体" w:hAnsi="宋体"/>
                <w:b/>
                <w:sz w:val="21"/>
                <w:szCs w:val="21"/>
              </w:rPr>
              <w:t>17.10.02</w:t>
            </w:r>
            <w:bookmarkEnd w:id="28"/>
          </w:p>
        </w:tc>
        <w:tc>
          <w:tcPr>
            <w:tcW w:w="1109" w:type="dxa"/>
            <w:vAlign w:val="center"/>
          </w:tcPr>
          <w:p>
            <w:pPr>
              <w:spacing w:line="260" w:lineRule="exact"/>
              <w:jc w:val="center"/>
              <w:rPr>
                <w:rFonts w:ascii="宋体" w:hAnsi="宋体"/>
                <w:b/>
                <w:color w:val="000000" w:themeColor="text1"/>
                <w:sz w:val="21"/>
                <w:szCs w:val="21"/>
              </w:rPr>
            </w:pPr>
            <w:r>
              <w:rPr>
                <w:rFonts w:hint="eastAsia" w:ascii="宋体" w:hAnsi="宋体"/>
                <w:b/>
                <w:color w:val="000000" w:themeColor="text1"/>
                <w:sz w:val="21"/>
                <w:szCs w:val="21"/>
              </w:rPr>
              <w:t>证书有</w:t>
            </w:r>
          </w:p>
          <w:p>
            <w:pPr>
              <w:spacing w:line="260" w:lineRule="exact"/>
              <w:jc w:val="center"/>
              <w:rPr>
                <w:rFonts w:ascii="宋体" w:hAnsi="宋体"/>
                <w:b/>
                <w:sz w:val="21"/>
                <w:szCs w:val="21"/>
              </w:rPr>
            </w:pPr>
            <w:r>
              <w:rPr>
                <w:rFonts w:hint="eastAsia" w:ascii="宋体" w:hAnsi="宋体"/>
                <w:b/>
                <w:color w:val="000000" w:themeColor="text1"/>
                <w:sz w:val="21"/>
                <w:szCs w:val="21"/>
              </w:rPr>
              <w:t>效期</w:t>
            </w:r>
          </w:p>
        </w:tc>
        <w:tc>
          <w:tcPr>
            <w:tcW w:w="1618" w:type="dxa"/>
            <w:gridSpan w:val="2"/>
          </w:tcPr>
          <w:p>
            <w:pPr>
              <w:spacing w:line="260" w:lineRule="exact"/>
              <w:rPr>
                <w:rFonts w:ascii="宋体" w:hAnsi="宋体"/>
                <w:b/>
                <w:sz w:val="21"/>
                <w:szCs w:val="21"/>
              </w:rPr>
            </w:pPr>
            <w:r>
              <w:rPr>
                <w:rFonts w:hint="eastAsia" w:ascii="宋体" w:hAnsi="宋体"/>
                <w:b/>
                <w:sz w:val="21"/>
                <w:szCs w:val="21"/>
              </w:rPr>
              <w:t>2022-06-20</w:t>
            </w:r>
          </w:p>
        </w:tc>
        <w:tc>
          <w:tcPr>
            <w:tcW w:w="1167" w:type="dxa"/>
            <w:vAlign w:val="center"/>
          </w:tcPr>
          <w:p>
            <w:pPr>
              <w:spacing w:line="260" w:lineRule="exact"/>
              <w:jc w:val="center"/>
              <w:rPr>
                <w:rFonts w:ascii="宋体" w:hAnsi="宋体"/>
                <w:b/>
                <w:sz w:val="21"/>
                <w:szCs w:val="21"/>
              </w:rPr>
            </w:pPr>
            <w:r>
              <w:rPr>
                <w:rFonts w:hint="eastAsia" w:ascii="宋体" w:hAnsi="宋体"/>
                <w:b/>
                <w:sz w:val="21"/>
                <w:szCs w:val="21"/>
              </w:rPr>
              <w:t>上年度</w:t>
            </w:r>
          </w:p>
          <w:p>
            <w:pPr>
              <w:spacing w:line="260" w:lineRule="exact"/>
              <w:jc w:val="center"/>
              <w:rPr>
                <w:rFonts w:ascii="宋体" w:hAnsi="宋体"/>
                <w:b/>
                <w:sz w:val="21"/>
                <w:szCs w:val="21"/>
              </w:rPr>
            </w:pPr>
            <w:r>
              <w:rPr>
                <w:rFonts w:hint="eastAsia" w:ascii="宋体" w:hAnsi="宋体"/>
                <w:b/>
                <w:sz w:val="21"/>
                <w:szCs w:val="21"/>
              </w:rPr>
              <w:t>审核日期</w:t>
            </w:r>
          </w:p>
        </w:tc>
        <w:tc>
          <w:tcPr>
            <w:tcW w:w="2005" w:type="dxa"/>
          </w:tcPr>
          <w:p>
            <w:pPr>
              <w:spacing w:line="260" w:lineRule="exact"/>
              <w:jc w:val="both"/>
              <w:rPr>
                <w:rFonts w:ascii="宋体"/>
                <w:b/>
                <w:sz w:val="21"/>
              </w:rPr>
            </w:pPr>
            <w:bookmarkStart w:id="29" w:name="审核日期"/>
            <w:r>
              <w:rPr>
                <w:rFonts w:ascii="宋体" w:hAnsi="宋体"/>
                <w:b/>
                <w:sz w:val="21"/>
                <w:szCs w:val="21"/>
              </w:rPr>
              <w:t>2020年09月03日 上午至2020年09月03日 下午</w:t>
            </w:r>
            <w:bookmarkEnd w:id="29"/>
          </w:p>
        </w:tc>
      </w:tr>
    </w:tbl>
    <w:p>
      <w:pPr>
        <w:tabs>
          <w:tab w:val="left" w:pos="645"/>
        </w:tabs>
        <w:rPr>
          <w:b/>
          <w:sz w:val="26"/>
          <w:szCs w:val="26"/>
        </w:rPr>
      </w:pPr>
    </w:p>
    <w:p>
      <w:pPr>
        <w:tabs>
          <w:tab w:val="left" w:pos="645"/>
        </w:tabs>
        <w:spacing w:afterLines="50" w:line="360" w:lineRule="exact"/>
        <w:rPr>
          <w:b/>
          <w:spacing w:val="-6"/>
          <w:sz w:val="16"/>
          <w:szCs w:val="16"/>
        </w:rPr>
      </w:pPr>
      <w:r>
        <w:rPr>
          <w:rFonts w:hint="eastAsia"/>
          <w:b/>
          <w:sz w:val="26"/>
          <w:szCs w:val="26"/>
        </w:rPr>
        <w:t>五、审核活动安排综述</w:t>
      </w:r>
    </w:p>
    <w:p>
      <w:pPr>
        <w:spacing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Lines="50"/>
        <w:ind w:left="-194" w:leftChars="-81" w:firstLine="211" w:firstLineChars="100"/>
        <w:rPr>
          <w:rFonts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p>
    <w:p>
      <w:pPr>
        <w:spacing w:beforeLines="50"/>
        <w:ind w:left="-194" w:leftChars="-81" w:firstLine="211" w:firstLineChars="100"/>
        <w:rPr>
          <w:rFonts w:ascii="宋体" w:hAnsi="宋体"/>
          <w:b/>
          <w:sz w:val="21"/>
          <w:szCs w:val="21"/>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p>
    <w:p>
      <w:pPr>
        <w:spacing w:line="360" w:lineRule="atLeast"/>
        <w:ind w:firstLine="211" w:firstLineChars="100"/>
        <w:rPr>
          <w:rFonts w:ascii="宋体" w:hAnsi="宋体"/>
          <w:b/>
          <w:sz w:val="21"/>
          <w:szCs w:val="21"/>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ascii="宋体" w:hAnsi="宋体"/>
          <w:b/>
          <w:sz w:val="21"/>
          <w:szCs w:val="21"/>
        </w:rPr>
      </w:pPr>
      <w:r>
        <w:rPr>
          <w:rFonts w:ascii="宋体" w:hAnsi="宋体"/>
          <w:b/>
          <w:sz w:val="21"/>
          <w:szCs w:val="21"/>
        </w:rPr>
        <w:t xml:space="preserve">4. </w:t>
      </w:r>
      <w:r>
        <w:rPr>
          <w:rFonts w:hint="eastAsia" w:ascii="宋体" w:hAnsi="宋体"/>
          <w:b/>
          <w:sz w:val="21"/>
          <w:szCs w:val="21"/>
        </w:rPr>
        <w:t>本次审核覆盖时间：从上次审核结束日的</w:t>
      </w:r>
      <w:r>
        <w:rPr>
          <w:rFonts w:ascii="宋体" w:hAnsi="宋体"/>
          <w:b/>
          <w:sz w:val="21"/>
          <w:szCs w:val="21"/>
        </w:rPr>
        <w:t>2020年09月03日</w:t>
      </w:r>
      <w:r>
        <w:rPr>
          <w:rFonts w:hint="eastAsia" w:ascii="宋体" w:hAnsi="宋体"/>
          <w:b/>
          <w:sz w:val="21"/>
          <w:szCs w:val="21"/>
        </w:rPr>
        <w:t>至</w:t>
      </w:r>
      <w:r>
        <w:rPr>
          <w:rFonts w:ascii="宋体" w:hAnsi="宋体"/>
          <w:b/>
          <w:sz w:val="21"/>
          <w:szCs w:val="21"/>
        </w:rPr>
        <w:t>2021年06月23日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spacing w:line="360" w:lineRule="auto"/>
        <w:ind w:left="-211" w:leftChars="-88" w:firstLine="582" w:firstLineChars="223"/>
        <w:rPr>
          <w:b/>
          <w:sz w:val="26"/>
          <w:szCs w:val="26"/>
        </w:rPr>
      </w:pPr>
      <w:r>
        <w:rPr>
          <w:rFonts w:hint="eastAsia"/>
          <w:b/>
          <w:sz w:val="26"/>
          <w:szCs w:val="26"/>
        </w:rPr>
        <w:t>六、审核证据及审核发现综述、</w:t>
      </w:r>
    </w:p>
    <w:tbl>
      <w:tblPr>
        <w:tblStyle w:val="6"/>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4" w:hRule="atLeast"/>
          <w:jc w:val="center"/>
        </w:trPr>
        <w:tc>
          <w:tcPr>
            <w:tcW w:w="720" w:type="dxa"/>
            <w:vMerge w:val="restart"/>
            <w:textDirection w:val="tbRlV"/>
            <w:vAlign w:val="center"/>
          </w:tcPr>
          <w:p>
            <w:pPr>
              <w:spacing w:line="240" w:lineRule="exact"/>
              <w:ind w:left="241" w:right="113" w:hanging="241" w:hangingChars="100"/>
              <w:jc w:val="center"/>
              <w:rPr>
                <w:rFonts w:ascii="宋体"/>
                <w:b/>
                <w:szCs w:val="21"/>
              </w:rPr>
            </w:pPr>
            <w:r>
              <w:rPr>
                <w:rFonts w:ascii="宋体" w:hAnsi="宋体"/>
                <w:b/>
                <w:szCs w:val="21"/>
              </w:rPr>
              <w:t>(</w:t>
            </w:r>
            <w:r>
              <w:rPr>
                <w:rFonts w:hint="eastAsia" w:ascii="宋体" w:hAnsi="宋体"/>
                <w:b/>
                <w:szCs w:val="21"/>
              </w:rPr>
              <w:t>一</w:t>
            </w:r>
            <w:r>
              <w:rPr>
                <w:rFonts w:ascii="宋体" w:hAnsi="宋体"/>
                <w:b/>
                <w:szCs w:val="21"/>
              </w:rPr>
              <w:t>)</w:t>
            </w:r>
            <w:r>
              <w:rPr>
                <w:rFonts w:hint="eastAsia" w:ascii="宋体" w:hAnsi="宋体"/>
                <w:b/>
                <w:szCs w:val="21"/>
              </w:rPr>
              <w:t>策划的充分与合理性</w:t>
            </w:r>
          </w:p>
        </w:tc>
        <w:tc>
          <w:tcPr>
            <w:tcW w:w="9198" w:type="dxa"/>
          </w:tcPr>
          <w:p>
            <w:pPr>
              <w:spacing w:line="240" w:lineRule="exact"/>
              <w:rPr>
                <w:rFonts w:ascii="宋体" w:hAnsi="宋体"/>
                <w:b/>
                <w:sz w:val="21"/>
                <w:szCs w:val="21"/>
              </w:rPr>
            </w:pPr>
            <w:r>
              <w:rPr>
                <w:rFonts w:ascii="宋体" w:hAnsi="宋体"/>
                <w:b/>
                <w:sz w:val="21"/>
                <w:szCs w:val="21"/>
              </w:rPr>
              <w:t>1</w:t>
            </w:r>
            <w:r>
              <w:rPr>
                <w:rFonts w:hint="eastAsia" w:ascii="宋体" w:hAnsi="宋体"/>
                <w:b/>
                <w:sz w:val="21"/>
                <w:szCs w:val="21"/>
              </w:rPr>
              <w:t>、组织及其环境的识别情况</w:t>
            </w:r>
          </w:p>
          <w:p>
            <w:pPr>
              <w:spacing w:line="240" w:lineRule="exact"/>
              <w:ind w:firstLine="420" w:firstLineChars="200"/>
              <w:rPr>
                <w:rFonts w:ascii="宋体" w:hAnsi="宋体"/>
                <w:b/>
                <w:sz w:val="21"/>
                <w:szCs w:val="21"/>
              </w:rPr>
            </w:pPr>
            <w:bookmarkStart w:id="30" w:name="组织名称"/>
            <w:r>
              <w:rPr>
                <w:rFonts w:hint="eastAsia" w:ascii="宋体" w:hAnsi="宋体" w:cs="宋体"/>
                <w:sz w:val="21"/>
                <w:szCs w:val="21"/>
              </w:rPr>
              <w:t>重庆宾鹏科技有限公司</w:t>
            </w:r>
            <w:bookmarkEnd w:id="30"/>
            <w:r>
              <w:rPr>
                <w:rFonts w:hint="eastAsia" w:ascii="宋体" w:hAnsi="宋体" w:cs="宋体"/>
                <w:sz w:val="21"/>
                <w:szCs w:val="21"/>
              </w:rPr>
              <w:t>是一家专业从事声测管、镀锌管和套筒的生产的企业。现有员工15人，经营状况良好。组织对内外部因素、相关方需求和期望进行了充分的识别，策划和实施有效。确定了体系的边界，基本适用。管理体系不适用条款为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2"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2"/>
              </w:numPr>
              <w:spacing w:line="240" w:lineRule="exact"/>
              <w:rPr>
                <w:rFonts w:ascii="宋体" w:hAnsi="宋体"/>
                <w:b/>
                <w:sz w:val="21"/>
                <w:szCs w:val="21"/>
              </w:rPr>
            </w:pPr>
            <w:r>
              <w:rPr>
                <w:rFonts w:hint="eastAsia" w:ascii="宋体" w:hAnsi="宋体"/>
                <w:b/>
                <w:sz w:val="21"/>
                <w:szCs w:val="21"/>
              </w:rPr>
              <w:t>相关方需求和期望识别情况</w:t>
            </w:r>
          </w:p>
          <w:p>
            <w:pPr>
              <w:spacing w:line="240" w:lineRule="exact"/>
              <w:ind w:firstLine="420" w:firstLineChars="200"/>
              <w:rPr>
                <w:rFonts w:ascii="宋体" w:hAnsi="宋体"/>
                <w:b/>
                <w:sz w:val="21"/>
                <w:szCs w:val="21"/>
              </w:rPr>
            </w:pPr>
            <w:r>
              <w:rPr>
                <w:rFonts w:hint="eastAsia" w:ascii="宋体" w:hAnsi="宋体" w:cs="宋体"/>
                <w:color w:val="000000"/>
                <w:sz w:val="21"/>
                <w:szCs w:val="21"/>
              </w:rPr>
              <w:t>公司确定的相关方有员工、股东、银行、主管部门、供应商、客户等。理解员工诉求的形式为面谈、会议等；理解银行等相关方的形式主要为电话沟通、上门拜访等；员工关注的主要问题有工资、待遇、晋升机制、福利等，供应商关注的主要问题是回款时间等。顾客等相关方需求和期望主要为技术服务符合要求、及时交付、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5"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3"/>
              </w:numPr>
              <w:spacing w:line="280" w:lineRule="exact"/>
              <w:rPr>
                <w:rFonts w:ascii="宋体" w:hAnsi="宋体"/>
                <w:b/>
                <w:sz w:val="21"/>
                <w:szCs w:val="21"/>
              </w:rPr>
            </w:pPr>
            <w:r>
              <w:rPr>
                <w:rFonts w:hint="eastAsia" w:ascii="宋体" w:hAnsi="宋体"/>
                <w:b/>
                <w:sz w:val="21"/>
                <w:szCs w:val="21"/>
              </w:rPr>
              <w:t>□质量</w:t>
            </w:r>
            <w:r>
              <w:rPr>
                <w:rFonts w:ascii="宋体" w:hAnsi="宋体"/>
                <w:b/>
                <w:sz w:val="21"/>
                <w:szCs w:val="21"/>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rPr>
              <w:t>□职业健康安全方针（组织方针的适宜性</w:t>
            </w:r>
            <w:r>
              <w:rPr>
                <w:rFonts w:ascii="宋体" w:hAnsi="宋体"/>
                <w:b/>
                <w:sz w:val="21"/>
                <w:szCs w:val="21"/>
              </w:rPr>
              <w:t>/</w:t>
            </w:r>
            <w:r>
              <w:rPr>
                <w:rFonts w:hint="eastAsia" w:ascii="宋体" w:hAnsi="宋体"/>
                <w:b/>
                <w:sz w:val="21"/>
                <w:szCs w:val="21"/>
              </w:rPr>
              <w:t>持续适宜性、方针的传达及职工的理解等）</w:t>
            </w:r>
          </w:p>
          <w:p>
            <w:pPr>
              <w:spacing w:line="360" w:lineRule="auto"/>
              <w:ind w:firstLine="420" w:firstLineChars="200"/>
              <w:jc w:val="left"/>
              <w:rPr>
                <w:rFonts w:ascii="宋体" w:hAnsi="宋体"/>
                <w:b/>
                <w:sz w:val="21"/>
                <w:szCs w:val="21"/>
              </w:rPr>
            </w:pPr>
            <w:r>
              <w:rPr>
                <w:rFonts w:hint="eastAsia" w:ascii="宋体" w:hAnsi="宋体" w:cs="宋体"/>
                <w:color w:val="000000"/>
                <w:sz w:val="21"/>
                <w:szCs w:val="21"/>
              </w:rPr>
              <w:t>“质量为本、信誉至上，持续改进，争创一流，满足要求”最高管理者组织制定了方针：现行的质量方针在质量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5"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2"/>
              </w:numPr>
              <w:spacing w:line="280" w:lineRule="exact"/>
              <w:rPr>
                <w:rFonts w:ascii="宋体" w:hAnsi="宋体"/>
                <w:b/>
                <w:sz w:val="21"/>
                <w:szCs w:val="21"/>
              </w:rPr>
            </w:pPr>
            <w:r>
              <w:rPr>
                <w:rFonts w:hint="eastAsia" w:ascii="宋体" w:hAnsi="宋体"/>
                <w:b/>
                <w:sz w:val="21"/>
                <w:szCs w:val="21"/>
              </w:rPr>
              <w:t>风险识别与控制策划</w:t>
            </w:r>
          </w:p>
          <w:p>
            <w:pPr>
              <w:spacing w:line="280" w:lineRule="exact"/>
              <w:ind w:firstLine="420" w:firstLineChars="200"/>
              <w:rPr>
                <w:rFonts w:ascii="宋体" w:hAnsi="宋体"/>
                <w:b/>
                <w:sz w:val="21"/>
                <w:szCs w:val="21"/>
              </w:rPr>
            </w:pPr>
            <w:r>
              <w:rPr>
                <w:rFonts w:hint="eastAsia"/>
                <w:sz w:val="21"/>
                <w:szCs w:val="21"/>
              </w:rPr>
              <w:t>公司了建立了风险和机遇应对措施的管控文件，并在体系运行中加以应用，符合标准要求。从现场及资料确认：主要风险和机遇的应对措施得当，应对效果基本满足要求。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9" w:hRule="atLeast"/>
          <w:jc w:val="center"/>
        </w:trPr>
        <w:tc>
          <w:tcPr>
            <w:tcW w:w="720" w:type="dxa"/>
            <w:vMerge w:val="continue"/>
            <w:vAlign w:val="center"/>
          </w:tcPr>
          <w:p>
            <w:pPr>
              <w:spacing w:line="240" w:lineRule="exact"/>
              <w:jc w:val="center"/>
              <w:rPr>
                <w:b/>
                <w:sz w:val="20"/>
              </w:rPr>
            </w:pPr>
          </w:p>
        </w:tc>
        <w:tc>
          <w:tcPr>
            <w:tcW w:w="9198" w:type="dxa"/>
          </w:tcPr>
          <w:p>
            <w:pPr>
              <w:numPr>
                <w:ilvl w:val="0"/>
                <w:numId w:val="3"/>
              </w:numPr>
              <w:spacing w:line="300" w:lineRule="exact"/>
              <w:rPr>
                <w:rFonts w:ascii="宋体" w:hAnsi="宋体"/>
                <w:b/>
                <w:sz w:val="21"/>
                <w:szCs w:val="21"/>
              </w:rPr>
            </w:pPr>
            <w:r>
              <w:rPr>
                <w:rFonts w:ascii="宋体" w:hAnsi="宋体"/>
                <w:b/>
                <w:sz w:val="21"/>
                <w:szCs w:val="21"/>
              </w:rPr>
              <w:t>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过程</w:t>
            </w:r>
          </w:p>
          <w:p>
            <w:pPr>
              <w:rPr>
                <w:rFonts w:ascii="宋体" w:hAnsi="宋体"/>
                <w:b/>
                <w:sz w:val="21"/>
                <w:szCs w:val="21"/>
              </w:rPr>
            </w:pPr>
            <w:r>
              <w:rPr>
                <w:rFonts w:hint="eastAsia" w:ascii="宋体" w:hAnsi="宋体"/>
                <w:b/>
                <w:sz w:val="21"/>
                <w:szCs w:val="21"/>
              </w:rPr>
              <w:t>QMS范围：</w:t>
            </w:r>
            <w:r>
              <w:rPr>
                <w:sz w:val="20"/>
              </w:rPr>
              <w:t>声测管、镀锌管和套筒的生产</w:t>
            </w:r>
            <w:r>
              <w:rPr>
                <w:rFonts w:hint="eastAsia"/>
                <w:sz w:val="21"/>
                <w:szCs w:val="21"/>
              </w:rPr>
              <w:t>。</w:t>
            </w:r>
          </w:p>
          <w:p>
            <w:pPr>
              <w:tabs>
                <w:tab w:val="left" w:pos="540"/>
              </w:tabs>
              <w:spacing w:line="300" w:lineRule="exact"/>
              <w:ind w:left="211" w:hanging="211" w:hangingChars="100"/>
              <w:rPr>
                <w:rFonts w:ascii="宋体" w:hAnsi="宋体"/>
                <w:b/>
                <w:sz w:val="21"/>
                <w:szCs w:val="21"/>
              </w:rPr>
            </w:pPr>
            <w:r>
              <w:rPr>
                <w:rFonts w:hint="eastAsia" w:ascii="宋体" w:hAnsi="宋体"/>
                <w:b/>
                <w:sz w:val="21"/>
                <w:szCs w:val="21"/>
              </w:rPr>
              <w:t>质量管理体系过程有：</w:t>
            </w:r>
          </w:p>
          <w:p>
            <w:pPr>
              <w:spacing w:line="360" w:lineRule="auto"/>
              <w:jc w:val="left"/>
              <w:rPr>
                <w:rFonts w:hint="eastAsia" w:ascii="宋体" w:hAnsi="宋体"/>
                <w:sz w:val="21"/>
                <w:szCs w:val="21"/>
              </w:rPr>
            </w:pPr>
            <w:r>
              <w:rPr>
                <w:rFonts w:hint="eastAsia" w:ascii="宋体" w:hAnsi="宋体"/>
                <w:sz w:val="21"/>
                <w:szCs w:val="21"/>
              </w:rPr>
              <w:t>声测管、镀锌管:钢带——焊接成型——切断——</w:t>
            </w:r>
            <w:r>
              <w:rPr>
                <w:rFonts w:hint="eastAsia" w:ascii="宋体" w:hAnsi="宋体"/>
                <w:sz w:val="21"/>
                <w:szCs w:val="21"/>
                <w:lang w:eastAsia="zh-CN"/>
              </w:rPr>
              <w:t>焊接接头</w:t>
            </w:r>
            <w:r>
              <w:rPr>
                <w:rFonts w:hint="eastAsia" w:ascii="宋体" w:hAnsi="宋体"/>
                <w:sz w:val="21"/>
                <w:szCs w:val="21"/>
                <w:lang w:val="en-US" w:eastAsia="zh-CN"/>
              </w:rPr>
              <w:t>--</w:t>
            </w:r>
            <w:r>
              <w:rPr>
                <w:rFonts w:hint="eastAsia" w:ascii="宋体" w:hAnsi="宋体"/>
                <w:sz w:val="21"/>
                <w:szCs w:val="21"/>
              </w:rPr>
              <w:t>检验——入库</w:t>
            </w:r>
          </w:p>
          <w:p>
            <w:pPr>
              <w:adjustRightInd w:val="0"/>
              <w:snapToGrid w:val="0"/>
              <w:spacing w:line="400" w:lineRule="exact"/>
              <w:rPr>
                <w:rFonts w:hint="eastAsia" w:ascii="宋体" w:hAnsi="宋体"/>
                <w:sz w:val="21"/>
                <w:szCs w:val="21"/>
              </w:rPr>
            </w:pPr>
            <w:r>
              <w:rPr>
                <w:rFonts w:hint="eastAsia" w:ascii="宋体" w:hAnsi="宋体"/>
                <w:sz w:val="21"/>
                <w:szCs w:val="21"/>
              </w:rPr>
              <w:t>套筒：</w:t>
            </w:r>
            <w:r>
              <w:rPr>
                <w:rFonts w:hint="eastAsia" w:ascii="宋体" w:hAnsi="宋体"/>
                <w:sz w:val="21"/>
                <w:szCs w:val="21"/>
                <w:lang w:eastAsia="zh-CN"/>
              </w:rPr>
              <w:t>原料检验</w:t>
            </w:r>
            <w:r>
              <w:rPr>
                <w:rFonts w:hint="eastAsia" w:ascii="宋体" w:hAnsi="宋体"/>
                <w:sz w:val="21"/>
                <w:szCs w:val="21"/>
              </w:rPr>
              <w:t>——下料——</w:t>
            </w:r>
            <w:r>
              <w:rPr>
                <w:rFonts w:hint="eastAsia" w:ascii="宋体" w:hAnsi="宋体"/>
                <w:sz w:val="21"/>
                <w:szCs w:val="21"/>
                <w:lang w:eastAsia="zh-CN"/>
              </w:rPr>
              <w:t>车丝（正、反丝）</w:t>
            </w:r>
            <w:r>
              <w:rPr>
                <w:rFonts w:hint="eastAsia" w:ascii="宋体" w:hAnsi="宋体"/>
                <w:sz w:val="21"/>
                <w:szCs w:val="21"/>
              </w:rPr>
              <w:t>——检验——入库</w:t>
            </w:r>
          </w:p>
          <w:p>
            <w:pPr>
              <w:adjustRightInd w:val="0"/>
              <w:snapToGrid w:val="0"/>
              <w:spacing w:line="400" w:lineRule="exact"/>
              <w:rPr>
                <w:rFonts w:hint="eastAsia" w:ascii="宋体" w:hAnsi="宋体" w:eastAsia="宋体"/>
                <w:sz w:val="21"/>
                <w:szCs w:val="21"/>
                <w:lang w:eastAsia="zh-CN"/>
              </w:rPr>
            </w:pPr>
            <w:r>
              <w:rPr>
                <w:rFonts w:hint="eastAsia" w:ascii="宋体" w:hAnsi="宋体"/>
                <w:sz w:val="21"/>
                <w:szCs w:val="21"/>
              </w:rPr>
              <w:t>需确认/特殊过程：焊接</w:t>
            </w:r>
            <w:r>
              <w:rPr>
                <w:rFonts w:hint="eastAsia" w:ascii="宋体" w:hAnsi="宋体"/>
                <w:sz w:val="21"/>
                <w:szCs w:val="21"/>
                <w:lang w:eastAsia="zh-CN"/>
              </w:rPr>
              <w:t>过程</w:t>
            </w:r>
          </w:p>
          <w:p>
            <w:pPr>
              <w:tabs>
                <w:tab w:val="left" w:pos="540"/>
              </w:tabs>
              <w:spacing w:line="300" w:lineRule="exact"/>
              <w:ind w:left="211" w:hanging="211" w:hangingChars="100"/>
              <w:rPr>
                <w:rFonts w:ascii="宋体" w:hAnsi="宋体"/>
                <w:b/>
                <w:sz w:val="21"/>
                <w:szCs w:val="21"/>
              </w:rPr>
            </w:pPr>
            <w:r>
              <w:rPr>
                <w:rFonts w:hint="eastAsia" w:ascii="宋体" w:hAnsi="宋体"/>
                <w:b/>
                <w:sz w:val="21"/>
                <w:szCs w:val="21"/>
                <w:lang w:eastAsia="zh-CN"/>
              </w:rPr>
              <w:t>不适用</w:t>
            </w:r>
            <w:r>
              <w:rPr>
                <w:rFonts w:hint="eastAsia" w:ascii="宋体" w:hAnsi="宋体"/>
                <w:b/>
                <w:sz w:val="21"/>
                <w:szCs w:val="21"/>
              </w:rPr>
              <w:t>条款是，8.3    理由：</w:t>
            </w:r>
            <w:r>
              <w:rPr>
                <w:rFonts w:hint="eastAsia" w:ascii="宋体" w:hAnsi="宋体"/>
                <w:sz w:val="21"/>
                <w:szCs w:val="21"/>
              </w:rPr>
              <w:t>因公司产品均按国家、行业相关标准、规范进行生产，生产工艺成熟。生产过程不涉及标准中“8.3设计和开发”条款内容，不适用不影响组织提供满足顾客要求和适用法律法规要求的产品的能力或责任的要求。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3"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w:t>
            </w:r>
            <w:r>
              <w:rPr>
                <w:rFonts w:ascii="宋体" w:hAnsi="宋体"/>
                <w:b/>
                <w:sz w:val="21"/>
                <w:szCs w:val="21"/>
              </w:rPr>
              <w:t>EMS</w:t>
            </w:r>
            <w:r>
              <w:rPr>
                <w:rFonts w:hint="eastAsia" w:ascii="宋体" w:hAnsi="宋体"/>
                <w:b/>
                <w:sz w:val="21"/>
                <w:szCs w:val="21"/>
              </w:rPr>
              <w:t>环境因素</w:t>
            </w:r>
          </w:p>
          <w:p>
            <w:pPr>
              <w:spacing w:line="300" w:lineRule="exact"/>
              <w:rPr>
                <w:rFonts w:ascii="宋体" w:hAnsi="宋体"/>
                <w:b/>
                <w:sz w:val="21"/>
                <w:szCs w:val="21"/>
              </w:rPr>
            </w:pPr>
            <w:r>
              <w:rPr>
                <w:rFonts w:hint="eastAsia" w:ascii="宋体" w:hAnsi="宋体"/>
                <w:b/>
                <w:sz w:val="21"/>
                <w:szCs w:val="21"/>
              </w:rPr>
              <w:t>（环境因素辨识是否充分、重要环境因素评价合理性，以及环境因素动态变更的及时性等）</w:t>
            </w:r>
          </w:p>
          <w:p>
            <w:pPr>
              <w:spacing w:line="240" w:lineRule="exact"/>
              <w:rPr>
                <w:rFonts w:ascii="宋体" w:hAnsi="宋体"/>
                <w:b/>
                <w:sz w:val="21"/>
                <w:szCs w:val="21"/>
              </w:rPr>
            </w:pP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7. </w:t>
            </w:r>
            <w:r>
              <w:rPr>
                <w:rFonts w:hint="eastAsia" w:ascii="宋体" w:hAnsi="宋体"/>
                <w:b/>
                <w:sz w:val="21"/>
                <w:szCs w:val="21"/>
              </w:rPr>
              <w:t>□</w:t>
            </w:r>
            <w:r>
              <w:rPr>
                <w:rFonts w:ascii="宋体" w:hAnsi="宋体"/>
                <w:b/>
                <w:sz w:val="21"/>
                <w:szCs w:val="21"/>
              </w:rPr>
              <w:t>OHSMS</w:t>
            </w:r>
            <w:r>
              <w:rPr>
                <w:rFonts w:hint="eastAsia" w:ascii="宋体" w:hAnsi="宋体"/>
                <w:b/>
                <w:sz w:val="21"/>
                <w:szCs w:val="21"/>
              </w:rPr>
              <w:t>职业健康安全危险源</w:t>
            </w:r>
          </w:p>
          <w:p>
            <w:pPr>
              <w:spacing w:line="240" w:lineRule="exact"/>
              <w:rPr>
                <w:rFonts w:ascii="宋体" w:hAnsi="宋体"/>
                <w:b/>
                <w:sz w:val="21"/>
                <w:szCs w:val="21"/>
              </w:rPr>
            </w:pPr>
            <w:r>
              <w:rPr>
                <w:rFonts w:hint="eastAsia" w:ascii="宋体" w:hAnsi="宋体"/>
                <w:b/>
                <w:sz w:val="21"/>
                <w:szCs w:val="21"/>
              </w:rPr>
              <w:t>（职业健康安全危险源辨识是否充分、风险评价合理性，以及风险评价动态变更的及时性等）</w:t>
            </w:r>
          </w:p>
          <w:p>
            <w:pPr>
              <w:spacing w:line="240" w:lineRule="exact"/>
              <w:rPr>
                <w:rFonts w:ascii="宋体" w:hAnsi="宋体"/>
                <w:b/>
                <w:sz w:val="21"/>
                <w:szCs w:val="21"/>
              </w:rPr>
            </w:pP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8"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 xml:space="preserve">8. </w:t>
            </w:r>
            <w:r>
              <w:rPr>
                <w:rFonts w:hint="eastAsia" w:ascii="宋体" w:hAnsi="宋体"/>
                <w:b/>
                <w:sz w:val="21"/>
                <w:szCs w:val="21"/>
              </w:rPr>
              <w:t>法律法规及其他要求</w:t>
            </w:r>
          </w:p>
          <w:p>
            <w:pPr>
              <w:pStyle w:val="15"/>
              <w:tabs>
                <w:tab w:val="left" w:pos="540"/>
              </w:tabs>
              <w:spacing w:line="300" w:lineRule="exact"/>
              <w:ind w:firstLine="0" w:firstLineChars="0"/>
              <w:rPr>
                <w:rFonts w:ascii="宋体"/>
                <w:b/>
                <w:szCs w:val="21"/>
                <w:u w:val="single"/>
              </w:rPr>
            </w:pPr>
            <w:r>
              <w:rPr>
                <w:rFonts w:hint="eastAsia" w:ascii="宋体" w:hAnsi="宋体"/>
                <w:b/>
                <w:szCs w:val="21"/>
              </w:rPr>
              <w:t>(1)获取法律法规项，☑法律法规获取充分</w:t>
            </w:r>
          </w:p>
          <w:p>
            <w:pPr>
              <w:pStyle w:val="15"/>
              <w:tabs>
                <w:tab w:val="left" w:pos="540"/>
              </w:tabs>
              <w:spacing w:line="300" w:lineRule="exact"/>
              <w:ind w:firstLine="0" w:firstLineChars="0"/>
              <w:rPr>
                <w:rFonts w:ascii="宋体"/>
                <w:b/>
                <w:szCs w:val="21"/>
              </w:rPr>
            </w:pPr>
            <w:r>
              <w:rPr>
                <w:rFonts w:hint="eastAsia" w:ascii="宋体" w:hAnsi="宋体"/>
                <w:b/>
                <w:szCs w:val="21"/>
              </w:rPr>
              <w:t>(2)结合公司的☑产品</w:t>
            </w:r>
            <w:r>
              <w:rPr>
                <w:rFonts w:ascii="宋体" w:hAnsi="宋体"/>
                <w:b/>
                <w:szCs w:val="21"/>
              </w:rPr>
              <w:t>/</w:t>
            </w:r>
            <w:r>
              <w:rPr>
                <w:rFonts w:hint="eastAsia" w:ascii="宋体" w:hAnsi="宋体"/>
                <w:b/>
                <w:szCs w:val="21"/>
              </w:rPr>
              <w:t>服务□环境因素□危险源，☑确定□未确定 法律法规要求的具体条款，</w:t>
            </w:r>
          </w:p>
          <w:p>
            <w:pPr>
              <w:pStyle w:val="15"/>
              <w:tabs>
                <w:tab w:val="left" w:pos="540"/>
              </w:tabs>
              <w:spacing w:line="300" w:lineRule="exact"/>
              <w:ind w:firstLine="0" w:firstLineChars="0"/>
              <w:rPr>
                <w:rFonts w:ascii="宋体"/>
                <w:b/>
                <w:szCs w:val="21"/>
              </w:rPr>
            </w:pPr>
            <w:r>
              <w:rPr>
                <w:rFonts w:hint="eastAsia" w:ascii="宋体" w:hAnsi="宋体"/>
                <w:b/>
                <w:szCs w:val="21"/>
              </w:rPr>
              <w:t>(3)法律法规的宣传方式：培训、宣传栏、发放文件等形式。</w:t>
            </w:r>
          </w:p>
          <w:p>
            <w:pPr>
              <w:tabs>
                <w:tab w:val="left" w:pos="0"/>
              </w:tabs>
              <w:spacing w:line="240" w:lineRule="exact"/>
              <w:rPr>
                <w:rFonts w:ascii="宋体" w:hAnsi="宋体"/>
                <w:b/>
                <w:sz w:val="21"/>
                <w:szCs w:val="21"/>
              </w:rPr>
            </w:pPr>
            <w:r>
              <w:rPr>
                <w:rFonts w:hint="eastAsia" w:ascii="宋体" w:hAnsi="宋体"/>
                <w:b/>
                <w:szCs w:val="21"/>
              </w:rPr>
              <w:t>(4)法律法规要求及时更新了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74"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hint="eastAsia" w:ascii="宋体" w:hAnsi="宋体"/>
                <w:b/>
                <w:sz w:val="21"/>
                <w:szCs w:val="21"/>
              </w:rPr>
              <w:t>9</w:t>
            </w:r>
            <w:r>
              <w:rPr>
                <w:rFonts w:ascii="宋体" w:hAnsi="宋体"/>
                <w:b/>
                <w:sz w:val="21"/>
                <w:szCs w:val="21"/>
              </w:rPr>
              <w:t xml:space="preserve">. </w:t>
            </w:r>
            <w:r>
              <w:rPr>
                <w:rFonts w:hint="eastAsia" w:ascii="宋体" w:hAnsi="宋体"/>
                <w:b/>
                <w:sz w:val="21"/>
                <w:szCs w:val="21"/>
              </w:rPr>
              <w:t>目标、方案</w:t>
            </w:r>
          </w:p>
          <w:p>
            <w:pPr>
              <w:spacing w:line="300" w:lineRule="exact"/>
              <w:rPr>
                <w:rFonts w:ascii="宋体" w:hAnsi="宋体"/>
                <w:b/>
                <w:sz w:val="21"/>
                <w:szCs w:val="21"/>
              </w:rPr>
            </w:pPr>
            <w:r>
              <w:rPr>
                <w:rFonts w:hint="eastAsia" w:ascii="宋体" w:hAnsi="宋体"/>
                <w:b/>
                <w:sz w:val="21"/>
                <w:szCs w:val="21"/>
              </w:rPr>
              <w:t>（在相关层次上建立可测量的目标，目标、方案的有效性，对质量目标的实现情况进行评价并叙述测量方法）</w:t>
            </w:r>
          </w:p>
          <w:p>
            <w:pPr>
              <w:spacing w:line="240" w:lineRule="exact"/>
              <w:ind w:firstLine="420" w:firstLineChars="200"/>
              <w:rPr>
                <w:rFonts w:ascii="宋体" w:hAnsi="宋体"/>
                <w:b/>
                <w:sz w:val="21"/>
                <w:szCs w:val="21"/>
              </w:rPr>
            </w:pPr>
            <w:r>
              <w:rPr>
                <w:rFonts w:hint="eastAsia" w:ascii="宋体" w:hAnsi="宋体" w:cs="宋体"/>
                <w:color w:val="000000"/>
                <w:kern w:val="0"/>
                <w:sz w:val="21"/>
                <w:szCs w:val="21"/>
              </w:rPr>
              <w:t>公司制定、发布了总体质量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hint="eastAsia" w:ascii="宋体" w:hAnsi="宋体"/>
                <w:b/>
                <w:sz w:val="21"/>
                <w:szCs w:val="21"/>
              </w:rPr>
              <w:t>10</w:t>
            </w:r>
            <w:r>
              <w:rPr>
                <w:rFonts w:ascii="宋体" w:hAnsi="宋体"/>
                <w:b/>
                <w:sz w:val="21"/>
                <w:szCs w:val="21"/>
              </w:rPr>
              <w:t xml:space="preserve">. </w:t>
            </w:r>
            <w:r>
              <w:rPr>
                <w:rFonts w:hint="eastAsia" w:ascii="宋体" w:hAnsi="宋体"/>
                <w:b/>
                <w:sz w:val="21"/>
                <w:szCs w:val="21"/>
              </w:rPr>
              <w:t>文件与记录控制</w:t>
            </w:r>
            <w:r>
              <w:rPr>
                <w:rFonts w:ascii="宋体" w:hAnsi="宋体"/>
                <w:b/>
                <w:sz w:val="21"/>
                <w:szCs w:val="21"/>
              </w:rPr>
              <w:t>(</w:t>
            </w:r>
            <w:r>
              <w:rPr>
                <w:rFonts w:hint="eastAsia" w:ascii="宋体" w:hAnsi="宋体"/>
                <w:b/>
                <w:sz w:val="21"/>
                <w:szCs w:val="21"/>
              </w:rPr>
              <w:t>文审修订后文件与标准的符合程度评价、文件控制管理等</w:t>
            </w:r>
            <w:r>
              <w:rPr>
                <w:rFonts w:ascii="宋体" w:hAnsi="宋体"/>
                <w:b/>
                <w:sz w:val="21"/>
                <w:szCs w:val="21"/>
              </w:rPr>
              <w:t>)</w:t>
            </w:r>
          </w:p>
          <w:p>
            <w:pPr>
              <w:tabs>
                <w:tab w:val="left" w:pos="540"/>
              </w:tabs>
              <w:spacing w:line="240" w:lineRule="exact"/>
              <w:ind w:firstLine="420" w:firstLineChars="200"/>
              <w:rPr>
                <w:rFonts w:ascii="宋体" w:hAnsi="宋体"/>
                <w:b/>
                <w:sz w:val="21"/>
                <w:szCs w:val="21"/>
              </w:rPr>
            </w:pPr>
            <w:r>
              <w:rPr>
                <w:rFonts w:hint="eastAsia" w:ascii="宋体" w:hAnsi="宋体" w:cs="宋体"/>
                <w:sz w:val="21"/>
                <w:szCs w:val="21"/>
              </w:rPr>
              <w:t>公司编制了《文件、记录控制程序》并按照申请认证的标准要求，建立并形成了文件化的质量管理体系，体系文件对管理体系各过程进行了识别确定，明确了各要素间的相互关系及其管控要求。公司体系文件于</w:t>
            </w:r>
            <w:r>
              <w:rPr>
                <w:rFonts w:hint="eastAsia" w:ascii="宋体" w:hAnsi="宋体" w:cs="宋体"/>
                <w:color w:val="000000"/>
                <w:kern w:val="0"/>
                <w:sz w:val="21"/>
                <w:szCs w:val="21"/>
              </w:rPr>
              <w:t>2017.10.01</w:t>
            </w:r>
            <w:r>
              <w:rPr>
                <w:rFonts w:hint="eastAsia" w:ascii="宋体" w:hAnsi="宋体" w:cs="宋体"/>
                <w:sz w:val="21"/>
                <w:szCs w:val="21"/>
              </w:rPr>
              <w:t>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1" w:hRule="atLeast"/>
          <w:jc w:val="center"/>
        </w:trPr>
        <w:tc>
          <w:tcPr>
            <w:tcW w:w="720" w:type="dxa"/>
            <w:vMerge w:val="restart"/>
            <w:textDirection w:val="tbRlV"/>
            <w:vAlign w:val="center"/>
          </w:tcPr>
          <w:p>
            <w:pPr>
              <w:spacing w:line="240" w:lineRule="exact"/>
              <w:ind w:left="113" w:right="113"/>
              <w:jc w:val="center"/>
              <w:rPr>
                <w:b/>
                <w:szCs w:val="21"/>
              </w:rPr>
            </w:pPr>
            <w:r>
              <w:rPr>
                <w:b/>
                <w:szCs w:val="21"/>
              </w:rPr>
              <w:br w:type="page"/>
            </w:r>
            <w:r>
              <w:rPr>
                <w:rFonts w:ascii="宋体" w:hAnsi="宋体"/>
                <w:b/>
                <w:szCs w:val="21"/>
              </w:rPr>
              <w:t>(</w:t>
            </w:r>
            <w:r>
              <w:rPr>
                <w:rFonts w:hint="eastAsia" w:ascii="宋体" w:hAnsi="宋体"/>
                <w:b/>
                <w:szCs w:val="21"/>
              </w:rPr>
              <w:t>二</w:t>
            </w:r>
            <w:r>
              <w:rPr>
                <w:rFonts w:ascii="宋体" w:hAnsi="宋体"/>
                <w:b/>
                <w:szCs w:val="21"/>
              </w:rPr>
              <w:t>)</w:t>
            </w:r>
            <w:r>
              <w:rPr>
                <w:rFonts w:hint="eastAsia" w:ascii="宋体" w:hAnsi="宋体"/>
                <w:b/>
                <w:szCs w:val="21"/>
              </w:rPr>
              <w:t>资源评价</w:t>
            </w:r>
          </w:p>
        </w:tc>
        <w:tc>
          <w:tcPr>
            <w:tcW w:w="9198" w:type="dxa"/>
          </w:tcPr>
          <w:p>
            <w:pPr>
              <w:spacing w:line="300" w:lineRule="exact"/>
              <w:rPr>
                <w:rFonts w:ascii="宋体" w:hAnsi="宋体"/>
                <w:b/>
                <w:sz w:val="21"/>
                <w:szCs w:val="21"/>
              </w:rPr>
            </w:pPr>
            <w:r>
              <w:rPr>
                <w:rFonts w:hint="eastAsia" w:ascii="宋体" w:hAnsi="宋体"/>
                <w:b/>
                <w:sz w:val="21"/>
                <w:szCs w:val="21"/>
              </w:rPr>
              <w:t>人力资源的简要说明</w:t>
            </w:r>
            <w:r>
              <w:rPr>
                <w:rFonts w:ascii="宋体" w:hAnsi="宋体"/>
                <w:b/>
                <w:sz w:val="21"/>
                <w:szCs w:val="21"/>
              </w:rPr>
              <w:t>.:</w:t>
            </w:r>
          </w:p>
          <w:p>
            <w:pPr>
              <w:spacing w:line="300" w:lineRule="exact"/>
              <w:ind w:firstLine="420" w:firstLineChars="200"/>
              <w:rPr>
                <w:rFonts w:ascii="宋体" w:hAnsi="宋体"/>
                <w:b/>
                <w:sz w:val="21"/>
                <w:szCs w:val="21"/>
              </w:rPr>
            </w:pPr>
            <w:r>
              <w:rPr>
                <w:rFonts w:hint="eastAsia" w:ascii="宋体" w:hAnsi="宋体" w:cs="宋体"/>
                <w:sz w:val="21"/>
                <w:szCs w:val="21"/>
              </w:rPr>
              <w:t>组织根据需要设置了质量策划、执行及验证等相关的职能部门和人员，并明确了各部门及各岗位职责，并形成了文件化的信息。各职能和层次的岗位人员，配置数量基本充分，具备相关法规和行业从业要求的相应资格和能力，如质量监控人员、设备操作人员的资格和能力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9"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设备设施（包括信息系统）、</w:t>
            </w:r>
          </w:p>
          <w:p>
            <w:pPr>
              <w:spacing w:line="360" w:lineRule="auto"/>
              <w:ind w:firstLine="420" w:firstLineChars="200"/>
              <w:rPr>
                <w:rFonts w:ascii="宋体" w:hAnsi="宋体"/>
                <w:b/>
                <w:sz w:val="21"/>
                <w:szCs w:val="21"/>
              </w:rPr>
            </w:pPr>
            <w:r>
              <w:rPr>
                <w:rFonts w:hint="eastAsia" w:ascii="宋体" w:hAnsi="宋体" w:cs="宋体"/>
                <w:sz w:val="21"/>
                <w:szCs w:val="21"/>
              </w:rPr>
              <w:t>组织有满足产品生产需要的生产场地及办公经营场所，车间、库房按区域划分开。主要设备包括：高频焊管生产线、保护焊机等，检测设备有：游标卡尺、卷尺、压力表等，可以满足产品生产需要。生产部对设备按月方式进行点检维护保养，并实施。特种设备：2.8T行车一辆。公司未建立信息管理系统用于生产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过程运行环境</w:t>
            </w:r>
          </w:p>
          <w:p>
            <w:pPr>
              <w:spacing w:line="240" w:lineRule="exact"/>
              <w:ind w:firstLine="630" w:firstLineChars="300"/>
              <w:rPr>
                <w:rFonts w:ascii="宋体" w:hAnsi="宋体"/>
                <w:b/>
                <w:sz w:val="21"/>
                <w:szCs w:val="21"/>
              </w:rPr>
            </w:pPr>
            <w:r>
              <w:rPr>
                <w:rFonts w:hint="eastAsia" w:ascii="宋体" w:hAnsi="宋体" w:cs="宋体"/>
                <w:sz w:val="21"/>
                <w:szCs w:val="21"/>
              </w:rPr>
              <w:t>办公场地及生产场所内设备布置合理，通道畅通，照明设施齐全，均配备了消防设施等设施。办公室明亮，作业场所光线较充足。每月由行政部对工作环境进行定期检查。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监视和测量资源</w:t>
            </w:r>
          </w:p>
          <w:p>
            <w:pPr>
              <w:spacing w:line="400" w:lineRule="atLeast"/>
              <w:ind w:firstLine="420" w:firstLineChars="200"/>
              <w:rPr>
                <w:rFonts w:ascii="宋体" w:hAnsi="宋体"/>
                <w:b/>
                <w:sz w:val="21"/>
                <w:szCs w:val="21"/>
              </w:rPr>
            </w:pPr>
            <w:r>
              <w:rPr>
                <w:rFonts w:hint="eastAsia" w:ascii="宋体" w:hAnsi="宋体"/>
                <w:color w:val="000000" w:themeColor="text1"/>
                <w:sz w:val="21"/>
                <w:szCs w:val="21"/>
                <w14:textFill>
                  <w14:solidFill>
                    <w14:schemeClr w14:val="tx1"/>
                  </w14:solidFill>
                </w14:textFill>
              </w:rPr>
              <w:t>查《计量器具台账》，技术部门均按策划的要求配置了相应的检测设备用于产品的检测，监视测量设备有：游标卡尺、万用表、压力表等。抽查在用检测设备的检定或校准证书,能提供有效的检定或校准证书。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知识</w:t>
            </w:r>
          </w:p>
          <w:p>
            <w:pPr>
              <w:spacing w:line="400" w:lineRule="exact"/>
              <w:ind w:firstLine="315" w:firstLineChars="150"/>
              <w:rPr>
                <w:rFonts w:ascii="宋体" w:hAnsi="宋体" w:cs="宋体"/>
                <w:color w:val="000000"/>
                <w:sz w:val="21"/>
                <w:szCs w:val="21"/>
              </w:rPr>
            </w:pPr>
            <w:r>
              <w:rPr>
                <w:rFonts w:hint="eastAsia" w:ascii="宋体" w:hAnsi="宋体" w:cs="宋体"/>
                <w:color w:val="000000"/>
                <w:sz w:val="21"/>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400" w:lineRule="exact"/>
              <w:ind w:firstLine="315" w:firstLineChars="150"/>
              <w:rPr>
                <w:rFonts w:ascii="宋体" w:hAnsi="宋体"/>
                <w:b/>
                <w:sz w:val="21"/>
                <w:szCs w:val="21"/>
              </w:rPr>
            </w:pPr>
            <w:r>
              <w:rPr>
                <w:rFonts w:hint="eastAsia" w:ascii="宋体" w:hAnsi="宋体" w:cs="宋体"/>
                <w:color w:val="000000"/>
                <w:sz w:val="21"/>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环保设施：\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职业健康安全设施：\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1" w:hRule="atLeast"/>
          <w:jc w:val="center"/>
        </w:trPr>
        <w:tc>
          <w:tcPr>
            <w:tcW w:w="720" w:type="dxa"/>
            <w:vMerge w:val="restart"/>
            <w:textDirection w:val="tbRlV"/>
            <w:vAlign w:val="center"/>
          </w:tcPr>
          <w:p>
            <w:pPr>
              <w:spacing w:line="240" w:lineRule="exact"/>
              <w:ind w:left="113" w:right="113"/>
              <w:jc w:val="center"/>
              <w:rPr>
                <w:b/>
                <w:szCs w:val="21"/>
              </w:rPr>
            </w:pPr>
            <w:r>
              <w:rPr>
                <w:rFonts w:ascii="宋体" w:hAnsi="宋体"/>
                <w:b/>
                <w:szCs w:val="21"/>
              </w:rPr>
              <w:t>(</w:t>
            </w:r>
            <w:r>
              <w:rPr>
                <w:rFonts w:hint="eastAsia" w:ascii="宋体" w:hAnsi="宋体"/>
                <w:b/>
                <w:szCs w:val="21"/>
              </w:rPr>
              <w:t>三</w:t>
            </w:r>
            <w:r>
              <w:rPr>
                <w:rFonts w:ascii="宋体" w:hAnsi="宋体"/>
                <w:b/>
                <w:szCs w:val="21"/>
              </w:rPr>
              <w:t>)</w:t>
            </w:r>
            <w:r>
              <w:rPr>
                <w:rFonts w:hint="eastAsia" w:ascii="宋体" w:hAnsi="宋体"/>
                <w:b/>
                <w:szCs w:val="21"/>
              </w:rPr>
              <w:t>体系运行情况</w:t>
            </w:r>
          </w:p>
        </w:tc>
        <w:tc>
          <w:tcPr>
            <w:tcW w:w="9198" w:type="dxa"/>
          </w:tcPr>
          <w:p>
            <w:pPr>
              <w:spacing w:line="30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针对方针的管理职责评审</w:t>
            </w:r>
          </w:p>
          <w:p>
            <w:pPr>
              <w:spacing w:line="300" w:lineRule="exact"/>
              <w:ind w:left="1"/>
              <w:rPr>
                <w:rFonts w:ascii="宋体" w:hAnsi="宋体"/>
                <w:b/>
                <w:sz w:val="21"/>
                <w:szCs w:val="21"/>
              </w:rPr>
            </w:pPr>
            <w:r>
              <w:rPr>
                <w:rFonts w:hint="eastAsia" w:ascii="宋体" w:hAnsi="宋体"/>
                <w:b/>
                <w:sz w:val="21"/>
                <w:szCs w:val="21"/>
              </w:rPr>
              <w:t>（包括针对组织宗旨，制定相关管理方针政策、确保方针为员工理解并在运营中实施，监视方针的实施并评审方针的适宜性）</w:t>
            </w:r>
          </w:p>
          <w:p>
            <w:pPr>
              <w:spacing w:line="300" w:lineRule="exact"/>
              <w:ind w:left="1" w:firstLine="420" w:firstLineChars="200"/>
              <w:rPr>
                <w:rFonts w:ascii="宋体" w:hAnsi="宋体"/>
                <w:b/>
                <w:sz w:val="21"/>
                <w:szCs w:val="21"/>
              </w:rPr>
            </w:pPr>
            <w:r>
              <w:rPr>
                <w:rFonts w:hint="eastAsia" w:ascii="宋体" w:hAnsi="宋体" w:cs="宋体"/>
                <w:color w:val="000000"/>
                <w:sz w:val="21"/>
                <w:szCs w:val="21"/>
              </w:rPr>
              <w:t>最高管理者组织制定了方针：现行的质量方针在质量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167" w:hanging="167" w:hangingChars="79"/>
              <w:rPr>
                <w:b/>
                <w:szCs w:val="21"/>
              </w:rPr>
            </w:pPr>
            <w:r>
              <w:rPr>
                <w:rFonts w:ascii="宋体" w:hAnsi="宋体"/>
                <w:b/>
                <w:sz w:val="21"/>
                <w:szCs w:val="21"/>
              </w:rPr>
              <w:t xml:space="preserve">2. </w:t>
            </w:r>
            <w:r>
              <w:rPr>
                <w:rFonts w:hint="eastAsia"/>
                <w:b/>
                <w:szCs w:val="21"/>
              </w:rPr>
              <w:t>组织内部沟通的充分性与效果；（</w:t>
            </w:r>
            <w:r>
              <w:rPr>
                <w:b/>
                <w:szCs w:val="21"/>
              </w:rPr>
              <w:t>OHSMS</w:t>
            </w:r>
            <w:r>
              <w:rPr>
                <w:rFonts w:hint="eastAsia"/>
                <w:b/>
                <w:szCs w:val="21"/>
              </w:rPr>
              <w:t>员工参与风险管理</w:t>
            </w:r>
            <w:r>
              <w:rPr>
                <w:b/>
                <w:szCs w:val="21"/>
              </w:rPr>
              <w:t>/</w:t>
            </w:r>
            <w:r>
              <w:rPr>
                <w:rFonts w:hint="eastAsia"/>
                <w:b/>
                <w:szCs w:val="21"/>
              </w:rPr>
              <w:t>健康安全事务的关心和影响力；组织对外联络关注顾客的感受情况、信息交流包括通报相关方的情况等）</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内部沟通的情况：内部沟通方式：</w:t>
            </w:r>
            <w:r>
              <w:rPr>
                <w:rFonts w:hint="eastAsia" w:ascii="宋体" w:hAnsi="宋体" w:cs="宋体"/>
                <w:color w:val="000000"/>
                <w:sz w:val="21"/>
                <w:szCs w:val="21"/>
              </w:rPr>
              <w:t>在公司内部主要采用电话、会议、面谈等形式就与产品质量、服务有关问题及与质量管理体系有关问题进行沟通，未发生由于沟通不到位而影响工作的情况。</w:t>
            </w:r>
          </w:p>
          <w:p>
            <w:pPr>
              <w:spacing w:line="240" w:lineRule="exact"/>
              <w:rPr>
                <w:rFonts w:ascii="楷体_GB2312" w:eastAsia="楷体_GB2312"/>
                <w:b/>
                <w:szCs w:val="21"/>
              </w:rPr>
            </w:pPr>
            <w:r>
              <w:rPr>
                <w:rFonts w:hint="eastAsia" w:ascii="楷体_GB2312" w:eastAsia="楷体_GB2312"/>
                <w:b/>
                <w:szCs w:val="21"/>
              </w:rPr>
              <w:t>内部沟通的效果：</w:t>
            </w:r>
            <w:r>
              <w:rPr>
                <w:rFonts w:hint="eastAsia" w:ascii="宋体" w:hAnsi="宋体" w:cs="宋体"/>
                <w:color w:val="000000"/>
                <w:sz w:val="21"/>
                <w:szCs w:val="21"/>
              </w:rPr>
              <w:t>良好</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组织对外联络，关注顾客的感受情况（</w:t>
            </w:r>
            <w:r>
              <w:rPr>
                <w:rFonts w:ascii="楷体_GB2312" w:eastAsia="楷体_GB2312"/>
                <w:b/>
                <w:szCs w:val="21"/>
              </w:rPr>
              <w:t>QMS</w:t>
            </w:r>
            <w:r>
              <w:rPr>
                <w:rFonts w:hint="eastAsia" w:ascii="楷体_GB2312" w:eastAsia="楷体_GB2312"/>
                <w:b/>
                <w:szCs w:val="21"/>
              </w:rPr>
              <w:t>）：</w:t>
            </w:r>
            <w:r>
              <w:rPr>
                <w:rFonts w:hint="eastAsia" w:ascii="宋体" w:hAnsi="宋体" w:cs="宋体"/>
                <w:color w:val="000000"/>
                <w:sz w:val="21"/>
                <w:szCs w:val="21"/>
              </w:rPr>
              <w:t>采取电话、QQ及不定期回访用户的方式了解相关信息等，对顾客反馈问题进行解答。针对存在的问题及时进行处理。定期发放顾客满意度调查，了解顾客满意或不满意的信息，并积极应对，确保顾客满意</w:t>
            </w:r>
            <w:r>
              <w:rPr>
                <w:rFonts w:hint="eastAsia" w:ascii="楷体_GB2312" w:eastAsia="楷体_GB2312"/>
                <w:b/>
                <w:szCs w:val="21"/>
              </w:rPr>
              <w:t>。</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外部信息的接收、成文并答复的情况（</w:t>
            </w:r>
            <w:r>
              <w:rPr>
                <w:rFonts w:ascii="楷体_GB2312" w:eastAsia="楷体_GB2312"/>
                <w:b/>
                <w:szCs w:val="21"/>
              </w:rPr>
              <w:t>E</w:t>
            </w:r>
            <w:r>
              <w:rPr>
                <w:rFonts w:hint="eastAsia" w:ascii="楷体_GB2312" w:eastAsia="楷体_GB2312"/>
                <w:b/>
                <w:szCs w:val="21"/>
              </w:rPr>
              <w:t>、</w:t>
            </w:r>
            <w:r>
              <w:rPr>
                <w:rFonts w:ascii="楷体_GB2312" w:eastAsia="楷体_GB2312"/>
                <w:b/>
                <w:szCs w:val="21"/>
              </w:rPr>
              <w:t>S</w:t>
            </w:r>
            <w:r>
              <w:rPr>
                <w:rFonts w:hint="eastAsia" w:ascii="楷体_GB2312" w:eastAsia="楷体_GB2312"/>
                <w:b/>
                <w:szCs w:val="21"/>
              </w:rPr>
              <w:t>填写）：/</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重要环境因素信息对外交流情况（</w:t>
            </w:r>
            <w:r>
              <w:rPr>
                <w:rFonts w:ascii="楷体_GB2312" w:eastAsia="楷体_GB2312"/>
                <w:b/>
                <w:szCs w:val="21"/>
              </w:rPr>
              <w:t>EMS</w:t>
            </w:r>
            <w:r>
              <w:rPr>
                <w:rFonts w:hint="eastAsia" w:ascii="楷体_GB2312" w:eastAsia="楷体_GB2312"/>
                <w:b/>
                <w:szCs w:val="21"/>
              </w:rPr>
              <w:t>填写）：/</w:t>
            </w:r>
          </w:p>
          <w:p>
            <w:pPr>
              <w:spacing w:line="240" w:lineRule="exact"/>
              <w:rPr>
                <w:rFonts w:ascii="楷体_GB2312" w:eastAsia="楷体_GB2312"/>
                <w:b/>
                <w:szCs w:val="21"/>
              </w:rPr>
            </w:pPr>
          </w:p>
          <w:p>
            <w:pPr>
              <w:spacing w:line="240" w:lineRule="exact"/>
              <w:rPr>
                <w:rFonts w:ascii="楷体_GB2312" w:eastAsia="楷体_GB2312"/>
                <w:b/>
                <w:szCs w:val="21"/>
              </w:rPr>
            </w:pPr>
            <w:r>
              <w:rPr>
                <w:rFonts w:ascii="楷体_GB2312" w:eastAsia="楷体_GB2312"/>
                <w:b/>
                <w:szCs w:val="21"/>
              </w:rPr>
              <w:t>OHSMS</w:t>
            </w:r>
            <w:r>
              <w:rPr>
                <w:rFonts w:hint="eastAsia" w:ascii="楷体_GB2312" w:eastAsia="楷体_GB2312"/>
                <w:b/>
                <w:szCs w:val="21"/>
              </w:rPr>
              <w:t>事务代表协商和交流的情况（</w:t>
            </w:r>
            <w:r>
              <w:rPr>
                <w:rFonts w:ascii="楷体_GB2312" w:eastAsia="楷体_GB2312"/>
                <w:b/>
                <w:szCs w:val="21"/>
              </w:rPr>
              <w:t>OHSMS</w:t>
            </w:r>
            <w:r>
              <w:rPr>
                <w:rFonts w:hint="eastAsia" w:ascii="楷体_GB2312" w:eastAsia="楷体_GB2312"/>
                <w:b/>
                <w:szCs w:val="21"/>
              </w:rPr>
              <w:t>填写）：/</w:t>
            </w:r>
          </w:p>
          <w:p>
            <w:pPr>
              <w:spacing w:line="240" w:lineRule="exact"/>
              <w:rPr>
                <w:rFonts w:ascii="楷体_GB2312" w:eastAsia="楷体_GB2312"/>
                <w:b/>
                <w:szCs w:val="21"/>
              </w:rPr>
            </w:pPr>
          </w:p>
          <w:p>
            <w:pPr>
              <w:spacing w:line="240" w:lineRule="exact"/>
              <w:rPr>
                <w:rFonts w:ascii="楷体_GB2312" w:eastAsia="楷体_GB2312"/>
                <w:b/>
                <w:szCs w:val="21"/>
              </w:rPr>
            </w:pPr>
          </w:p>
          <w:p>
            <w:pPr>
              <w:spacing w:line="240" w:lineRule="exact"/>
              <w:rPr>
                <w:rFonts w:ascii="宋体" w:hAnsi="宋体"/>
                <w:b/>
                <w:sz w:val="21"/>
                <w:szCs w:val="21"/>
              </w:rPr>
            </w:pPr>
            <w:r>
              <w:rPr>
                <w:rFonts w:hint="eastAsia" w:ascii="楷体_GB2312" w:eastAsia="楷体_GB2312"/>
                <w:b/>
                <w:szCs w:val="21"/>
              </w:rPr>
              <w:t>与相关方协商的情况（</w:t>
            </w:r>
            <w:r>
              <w:rPr>
                <w:rFonts w:ascii="楷体_GB2312" w:eastAsia="楷体_GB2312"/>
                <w:b/>
                <w:szCs w:val="21"/>
              </w:rPr>
              <w:t>OHSMS</w:t>
            </w:r>
            <w:r>
              <w:rPr>
                <w:rFonts w:hint="eastAsia" w:ascii="楷体_GB2312" w:eastAsia="楷体_GB2312"/>
                <w:b/>
                <w:szCs w:val="21"/>
              </w:rPr>
              <w:t>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99"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3.  QMS </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组织对重要过程实施控制的结果</w:t>
            </w:r>
          </w:p>
          <w:p>
            <w:pPr>
              <w:spacing w:line="240" w:lineRule="exact"/>
              <w:ind w:left="206" w:leftChars="42" w:hanging="105" w:hangingChars="50"/>
              <w:rPr>
                <w:rFonts w:ascii="宋体" w:hAnsi="宋体"/>
                <w:b/>
                <w:sz w:val="21"/>
                <w:szCs w:val="21"/>
              </w:rPr>
            </w:pPr>
            <w:r>
              <w:rPr>
                <w:rFonts w:ascii="宋体" w:hAnsi="宋体"/>
                <w:b/>
                <w:sz w:val="21"/>
                <w:szCs w:val="21"/>
              </w:rPr>
              <w:t>(</w:t>
            </w:r>
            <w:r>
              <w:rPr>
                <w:rFonts w:hint="eastAsia" w:ascii="宋体" w:hAnsi="宋体"/>
                <w:b/>
                <w:sz w:val="21"/>
                <w:szCs w:val="21"/>
              </w:rPr>
              <w:t>包括对</w:t>
            </w:r>
            <w:r>
              <w:rPr>
                <w:rFonts w:ascii="宋体" w:hAnsi="宋体"/>
                <w:b/>
                <w:sz w:val="21"/>
                <w:szCs w:val="21"/>
              </w:rPr>
              <w:t>QMS</w:t>
            </w:r>
            <w:r>
              <w:rPr>
                <w:rFonts w:hint="eastAsia" w:ascii="宋体" w:hAnsi="宋体"/>
                <w:b/>
                <w:sz w:val="21"/>
                <w:szCs w:val="21"/>
              </w:rPr>
              <w:t>关键工序</w:t>
            </w:r>
            <w:r>
              <w:rPr>
                <w:rFonts w:ascii="宋体" w:hAnsi="宋体"/>
                <w:b/>
                <w:sz w:val="21"/>
                <w:szCs w:val="21"/>
              </w:rPr>
              <w:t>(</w:t>
            </w:r>
            <w:r>
              <w:rPr>
                <w:rFonts w:hint="eastAsia" w:ascii="宋体" w:hAnsi="宋体"/>
                <w:b/>
                <w:sz w:val="21"/>
                <w:szCs w:val="21"/>
              </w:rPr>
              <w:t>过程</w:t>
            </w:r>
            <w:r>
              <w:rPr>
                <w:rFonts w:ascii="宋体" w:hAnsi="宋体"/>
                <w:b/>
                <w:sz w:val="21"/>
                <w:szCs w:val="21"/>
              </w:rPr>
              <w:t>)</w:t>
            </w:r>
            <w:r>
              <w:rPr>
                <w:rFonts w:hint="eastAsia" w:ascii="宋体" w:hAnsi="宋体"/>
                <w:b/>
                <w:sz w:val="21"/>
                <w:szCs w:val="21"/>
              </w:rPr>
              <w:t>、特殊过程控制</w:t>
            </w:r>
            <w:r>
              <w:rPr>
                <w:rFonts w:ascii="宋体" w:hAnsi="宋体"/>
                <w:b/>
                <w:sz w:val="21"/>
                <w:szCs w:val="21"/>
              </w:rPr>
              <w:t>;</w:t>
            </w:r>
            <w:r>
              <w:rPr>
                <w:rFonts w:hint="eastAsia" w:ascii="宋体" w:hAnsi="宋体"/>
                <w:b/>
                <w:sz w:val="21"/>
                <w:szCs w:val="21"/>
              </w:rPr>
              <w:t>评价组织对过程实施控制情况</w:t>
            </w:r>
            <w:r>
              <w:rPr>
                <w:rFonts w:ascii="宋体" w:hAnsi="宋体"/>
                <w:b/>
                <w:sz w:val="21"/>
                <w:szCs w:val="21"/>
              </w:rPr>
              <w:t>/)</w:t>
            </w:r>
          </w:p>
          <w:p>
            <w:pPr>
              <w:spacing w:line="240" w:lineRule="exact"/>
              <w:ind w:firstLine="420" w:firstLineChars="200"/>
              <w:rPr>
                <w:rFonts w:hint="eastAsia" w:ascii="宋体" w:hAnsi="宋体" w:cs="宋体"/>
                <w:color w:val="000000"/>
                <w:sz w:val="21"/>
                <w:szCs w:val="21"/>
              </w:rPr>
            </w:pPr>
            <w:r>
              <w:rPr>
                <w:rFonts w:hint="eastAsia" w:ascii="宋体" w:hAnsi="宋体" w:cs="宋体"/>
                <w:color w:val="000000"/>
                <w:sz w:val="21"/>
                <w:szCs w:val="21"/>
              </w:rPr>
              <w:t>公司在体系文件中，规定了公司各管理层次（如质量职能部门）和在各阶段对产品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在过程质量管理策划方面需要改善。QMS关键工序(过程)：焊接过程</w:t>
            </w:r>
          </w:p>
          <w:p>
            <w:pPr>
              <w:spacing w:line="240" w:lineRule="exact"/>
              <w:ind w:firstLine="420" w:firstLineChars="200"/>
              <w:rPr>
                <w:rFonts w:ascii="宋体" w:hAnsi="宋体"/>
                <w:b/>
                <w:sz w:val="21"/>
                <w:szCs w:val="21"/>
              </w:rPr>
            </w:pPr>
            <w:r>
              <w:rPr>
                <w:rFonts w:hint="eastAsia" w:ascii="宋体" w:hAnsi="宋体" w:cs="宋体"/>
                <w:color w:val="000000"/>
                <w:sz w:val="21"/>
                <w:szCs w:val="21"/>
              </w:rPr>
              <w:t>特殊过程：焊接过程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300" w:lineRule="exact"/>
              <w:jc w:val="left"/>
              <w:rPr>
                <w:rFonts w:ascii="宋体" w:hAnsi="宋体"/>
                <w:b/>
                <w:sz w:val="21"/>
                <w:szCs w:val="21"/>
              </w:rPr>
            </w:pPr>
            <w:r>
              <w:rPr>
                <w:rFonts w:ascii="宋体" w:hAnsi="宋体"/>
                <w:b/>
                <w:sz w:val="21"/>
                <w:szCs w:val="21"/>
              </w:rPr>
              <w:t>4.QMS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服务的标准、协议</w:t>
            </w:r>
            <w:r>
              <w:rPr>
                <w:rFonts w:ascii="宋体" w:hAnsi="宋体"/>
                <w:b/>
                <w:sz w:val="21"/>
                <w:szCs w:val="21"/>
              </w:rPr>
              <w:t>/</w:t>
            </w:r>
            <w:r>
              <w:rPr>
                <w:rFonts w:hint="eastAsia" w:ascii="宋体" w:hAnsi="宋体"/>
                <w:b/>
                <w:sz w:val="21"/>
                <w:szCs w:val="21"/>
              </w:rPr>
              <w:t>规范的有效性以及产品</w:t>
            </w:r>
            <w:r>
              <w:rPr>
                <w:rFonts w:ascii="宋体" w:hAnsi="宋体"/>
                <w:b/>
                <w:sz w:val="21"/>
                <w:szCs w:val="21"/>
              </w:rPr>
              <w:t>/</w:t>
            </w:r>
            <w:r>
              <w:rPr>
                <w:rFonts w:hint="eastAsia" w:ascii="宋体" w:hAnsi="宋体"/>
                <w:b/>
                <w:sz w:val="21"/>
                <w:szCs w:val="21"/>
              </w:rPr>
              <w:t>服务质量符合要求，向顾客稳定提供合格产品的情况；</w:t>
            </w:r>
          </w:p>
          <w:p>
            <w:pPr>
              <w:spacing w:line="300" w:lineRule="exact"/>
              <w:ind w:firstLine="420" w:firstLineChars="200"/>
              <w:rPr>
                <w:rFonts w:ascii="宋体" w:hAnsi="宋体"/>
                <w:b/>
                <w:sz w:val="21"/>
                <w:szCs w:val="21"/>
              </w:rPr>
            </w:pPr>
            <w:r>
              <w:rPr>
                <w:rFonts w:hint="eastAsia" w:ascii="宋体" w:hAnsi="宋体" w:cs="宋体"/>
                <w:color w:val="000000"/>
                <w:sz w:val="21"/>
                <w:szCs w:val="21"/>
              </w:rPr>
              <w:t>制定并实施了产品检验控制规定，规定了公司各管理层次和部门在各阶段对产品质量实施检查与验收的管理要求。内容基本具备全面性、系统性及可操作性。产品验收均在出厂前处予以实现，范围包括：过程、最终产品。以此保证持续向顾客稳定提供稳定合格的产品和服务。</w:t>
            </w:r>
          </w:p>
          <w:p>
            <w:pPr>
              <w:spacing w:line="240" w:lineRule="exact"/>
              <w:rPr>
                <w:rFonts w:ascii="宋体" w:hAnsi="宋体"/>
                <w:b/>
                <w:sz w:val="21"/>
                <w:szCs w:val="21"/>
              </w:rPr>
            </w:pPr>
          </w:p>
          <w:p>
            <w:pPr>
              <w:spacing w:line="240" w:lineRule="exact"/>
              <w:rPr>
                <w:rFonts w:ascii="宋体" w:hAnsi="宋体"/>
                <w:b/>
                <w:sz w:val="21"/>
                <w:szCs w:val="21"/>
              </w:rPr>
            </w:pPr>
            <w:r>
              <w:rPr>
                <w:rFonts w:ascii="宋体" w:hAnsi="宋体"/>
                <w:b/>
                <w:sz w:val="21"/>
                <w:szCs w:val="21"/>
              </w:rPr>
              <w:t>(</w:t>
            </w:r>
            <w:r>
              <w:rPr>
                <w:rFonts w:hint="eastAsia" w:ascii="宋体" w:hAnsi="宋体"/>
                <w:b/>
                <w:sz w:val="21"/>
                <w:szCs w:val="21"/>
              </w:rPr>
              <w:t>应说明相关证据</w:t>
            </w:r>
            <w:r>
              <w:rPr>
                <w:rFonts w:ascii="宋体" w:hAnsi="宋体"/>
                <w:b/>
                <w:sz w:val="21"/>
                <w:szCs w:val="21"/>
              </w:rPr>
              <w:t>)</w:t>
            </w:r>
            <w:r>
              <w:rPr>
                <w:rFonts w:hint="eastAsia" w:ascii="宋体" w:hAnsi="宋体"/>
                <w:b/>
                <w:sz w:val="21"/>
                <w:szCs w:val="21"/>
              </w:rPr>
              <w:t>：</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5 .QMS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地方技术监督部门监测（检测、委托检测、定期监测、型式试验等）、抽查结果</w:t>
            </w:r>
          </w:p>
          <w:p>
            <w:pPr>
              <w:spacing w:line="240" w:lineRule="exact"/>
              <w:rPr>
                <w:rFonts w:ascii="宋体" w:hAnsi="宋体"/>
                <w:b/>
                <w:sz w:val="21"/>
                <w:szCs w:val="21"/>
              </w:rPr>
            </w:pPr>
          </w:p>
          <w:p>
            <w:pPr>
              <w:spacing w:line="240" w:lineRule="exact"/>
              <w:rPr>
                <w:rFonts w:ascii="宋体" w:hAnsi="宋体"/>
                <w:b/>
                <w:sz w:val="21"/>
                <w:szCs w:val="21"/>
              </w:rPr>
            </w:pPr>
          </w:p>
          <w:p>
            <w:pPr>
              <w:spacing w:line="300" w:lineRule="exact"/>
              <w:ind w:firstLine="207" w:firstLineChars="98"/>
              <w:rPr>
                <w:rFonts w:ascii="宋体" w:hAnsi="宋体"/>
                <w:b/>
                <w:sz w:val="21"/>
                <w:szCs w:val="21"/>
              </w:rPr>
            </w:pPr>
            <w:r>
              <w:rPr>
                <w:rFonts w:hint="eastAsia" w:ascii="宋体" w:hAnsi="宋体"/>
                <w:b/>
                <w:sz w:val="21"/>
                <w:szCs w:val="21"/>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9"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不合格品</w:t>
            </w:r>
            <w:r>
              <w:rPr>
                <w:rFonts w:ascii="宋体" w:hAnsi="宋体"/>
                <w:b/>
                <w:sz w:val="21"/>
                <w:szCs w:val="21"/>
              </w:rPr>
              <w:t>/</w:t>
            </w:r>
            <w:r>
              <w:rPr>
                <w:rFonts w:hint="eastAsia" w:ascii="宋体" w:hAnsi="宋体"/>
                <w:b/>
                <w:sz w:val="21"/>
                <w:szCs w:val="21"/>
              </w:rPr>
              <w:t>项的识别、控制</w:t>
            </w:r>
            <w:r>
              <w:rPr>
                <w:rFonts w:ascii="宋体" w:hAnsi="宋体"/>
                <w:b/>
                <w:sz w:val="21"/>
                <w:szCs w:val="21"/>
              </w:rPr>
              <w:t>;</w:t>
            </w:r>
          </w:p>
          <w:p>
            <w:pPr>
              <w:spacing w:line="240" w:lineRule="exact"/>
              <w:ind w:firstLine="420" w:firstLineChars="200"/>
              <w:rPr>
                <w:rFonts w:ascii="宋体" w:hAnsi="宋体"/>
                <w:b/>
                <w:sz w:val="21"/>
                <w:szCs w:val="21"/>
              </w:rPr>
            </w:pPr>
            <w:r>
              <w:rPr>
                <w:rFonts w:hint="eastAsia" w:ascii="宋体" w:hAnsi="宋体" w:cs="宋体"/>
                <w:color w:val="000000"/>
                <w:sz w:val="21"/>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7. EMS</w:t>
            </w:r>
            <w:r>
              <w:rPr>
                <w:rFonts w:hint="eastAsia" w:ascii="宋体" w:hAnsi="宋体"/>
                <w:b/>
                <w:sz w:val="21"/>
                <w:szCs w:val="21"/>
              </w:rPr>
              <w:t>组织对重要环境因素实施控制的结果</w:t>
            </w:r>
          </w:p>
          <w:p>
            <w:pPr>
              <w:spacing w:line="240" w:lineRule="exact"/>
              <w:rPr>
                <w:rFonts w:ascii="宋体" w:hAnsi="宋体"/>
                <w:b/>
                <w:sz w:val="21"/>
                <w:szCs w:val="21"/>
              </w:rPr>
            </w:pPr>
            <w:r>
              <w:rPr>
                <w:rFonts w:hint="eastAsia" w:ascii="宋体" w:hAnsi="宋体"/>
                <w:b/>
                <w:sz w:val="21"/>
                <w:szCs w:val="21"/>
              </w:rPr>
              <w:t>（</w:t>
            </w:r>
            <w:r>
              <w:rPr>
                <w:rFonts w:ascii="宋体" w:hAnsi="宋体"/>
                <w:b/>
                <w:sz w:val="21"/>
                <w:szCs w:val="21"/>
              </w:rPr>
              <w:t>EMS</w:t>
            </w:r>
            <w:r>
              <w:rPr>
                <w:rFonts w:hint="eastAsia" w:ascii="宋体" w:hAnsi="宋体"/>
                <w:b/>
                <w:sz w:val="21"/>
                <w:szCs w:val="21"/>
              </w:rPr>
              <w:t>对重要环境因素控制，重大环境因素对周边环境产生的影响及控制</w:t>
            </w:r>
            <w:r>
              <w:rPr>
                <w:rFonts w:ascii="宋体" w:hAnsi="宋体"/>
                <w:b/>
                <w:sz w:val="21"/>
                <w:szCs w:val="21"/>
              </w:rPr>
              <w:t>;</w:t>
            </w:r>
            <w:r>
              <w:rPr>
                <w:rFonts w:hint="eastAsia" w:ascii="宋体" w:hAnsi="宋体"/>
                <w:b/>
                <w:sz w:val="21"/>
                <w:szCs w:val="21"/>
              </w:rPr>
              <w:t>对相关方施加影响）</w:t>
            </w:r>
          </w:p>
          <w:p>
            <w:pPr>
              <w:spacing w:line="240" w:lineRule="exact"/>
              <w:rPr>
                <w:rFonts w:ascii="宋体" w:hAnsi="宋体"/>
                <w:b/>
                <w:sz w:val="21"/>
                <w:szCs w:val="21"/>
              </w:rPr>
            </w:pP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720" w:type="dxa"/>
            <w:vMerge w:val="continue"/>
            <w:vAlign w:val="center"/>
          </w:tcPr>
          <w:p>
            <w:pPr>
              <w:spacing w:line="240" w:lineRule="exact"/>
              <w:jc w:val="center"/>
              <w:rPr>
                <w:b/>
                <w:szCs w:val="21"/>
              </w:rPr>
            </w:pPr>
          </w:p>
        </w:tc>
        <w:tc>
          <w:tcPr>
            <w:tcW w:w="9198" w:type="dxa"/>
          </w:tcPr>
          <w:p>
            <w:pPr>
              <w:numPr>
                <w:ilvl w:val="0"/>
                <w:numId w:val="4"/>
              </w:numPr>
              <w:spacing w:line="240" w:lineRule="exact"/>
              <w:rPr>
                <w:rFonts w:ascii="宋体" w:hAnsi="宋体"/>
                <w:b/>
                <w:sz w:val="21"/>
                <w:szCs w:val="21"/>
              </w:rPr>
            </w:pPr>
            <w:r>
              <w:rPr>
                <w:rFonts w:ascii="宋体" w:hAnsi="宋体"/>
                <w:b/>
                <w:sz w:val="21"/>
                <w:szCs w:val="21"/>
              </w:rPr>
              <w:t>OHSMS</w:t>
            </w:r>
            <w:r>
              <w:rPr>
                <w:rFonts w:hint="eastAsia" w:ascii="宋体" w:hAnsi="宋体"/>
                <w:b/>
                <w:sz w:val="21"/>
                <w:szCs w:val="21"/>
              </w:rPr>
              <w:t>组织对不可接受风险实施控制的结果</w:t>
            </w:r>
          </w:p>
          <w:p>
            <w:pPr>
              <w:spacing w:line="240" w:lineRule="exact"/>
              <w:rPr>
                <w:rFonts w:ascii="宋体" w:hAnsi="宋体"/>
                <w:b/>
                <w:sz w:val="21"/>
                <w:szCs w:val="21"/>
              </w:rPr>
            </w:pP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211" w:hanging="211" w:hangingChars="100"/>
              <w:rPr>
                <w:rFonts w:ascii="宋体" w:hAnsi="宋体"/>
                <w:b/>
                <w:sz w:val="21"/>
                <w:szCs w:val="21"/>
              </w:rPr>
            </w:pPr>
            <w:r>
              <w:rPr>
                <w:rFonts w:ascii="宋体" w:hAnsi="宋体"/>
                <w:b/>
                <w:sz w:val="21"/>
                <w:szCs w:val="21"/>
              </w:rPr>
              <w:t xml:space="preserve">9. </w:t>
            </w:r>
            <w:r>
              <w:rPr>
                <w:rFonts w:hint="eastAsia" w:ascii="宋体" w:hAnsi="宋体"/>
                <w:b/>
                <w:sz w:val="21"/>
                <w:szCs w:val="21"/>
              </w:rPr>
              <w:t>应急准备与相应活动的演练及对预案可行性的评价</w:t>
            </w:r>
            <w:r>
              <w:rPr>
                <w:rFonts w:ascii="宋体" w:hAnsi="宋体"/>
                <w:b/>
                <w:sz w:val="21"/>
                <w:szCs w:val="21"/>
              </w:rPr>
              <w:t>(</w:t>
            </w:r>
            <w:r>
              <w:rPr>
                <w:rFonts w:hint="eastAsia" w:ascii="宋体" w:hAnsi="宋体"/>
                <w:b/>
                <w:sz w:val="21"/>
                <w:szCs w:val="21"/>
              </w:rPr>
              <w:t>当有规定时</w:t>
            </w:r>
            <w:r>
              <w:rPr>
                <w:rFonts w:ascii="宋体" w:hAnsi="宋体"/>
                <w:b/>
                <w:sz w:val="21"/>
                <w:szCs w:val="21"/>
              </w:rPr>
              <w:t xml:space="preserve">) </w:t>
            </w:r>
          </w:p>
          <w:p>
            <w:pPr>
              <w:spacing w:line="240" w:lineRule="exact"/>
              <w:rPr>
                <w:rFonts w:ascii="宋体" w:hAnsi="宋体"/>
                <w:b/>
                <w:sz w:val="21"/>
                <w:szCs w:val="21"/>
              </w:rPr>
            </w:pP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color w:val="000000" w:themeColor="text1"/>
                <w:sz w:val="21"/>
                <w:szCs w:val="21"/>
              </w:rPr>
              <w:t xml:space="preserve">10. </w:t>
            </w:r>
            <w:r>
              <w:rPr>
                <w:rFonts w:hint="eastAsia" w:ascii="宋体" w:hAnsi="宋体"/>
                <w:b/>
                <w:color w:val="000000" w:themeColor="text1"/>
                <w:sz w:val="21"/>
                <w:szCs w:val="21"/>
              </w:rPr>
              <w:t>对特种设备的维护，检定</w:t>
            </w:r>
            <w:r>
              <w:rPr>
                <w:rFonts w:ascii="宋体" w:hAnsi="宋体"/>
                <w:b/>
                <w:color w:val="000000" w:themeColor="text1"/>
                <w:sz w:val="21"/>
                <w:szCs w:val="21"/>
              </w:rPr>
              <w:t>;</w:t>
            </w:r>
            <w:r>
              <w:rPr>
                <w:rFonts w:hint="eastAsia" w:ascii="宋体" w:hAnsi="宋体"/>
                <w:b/>
                <w:color w:val="000000" w:themeColor="text1"/>
                <w:sz w:val="21"/>
                <w:szCs w:val="21"/>
              </w:rPr>
              <w:t>（</w:t>
            </w:r>
            <w:r>
              <w:rPr>
                <w:rFonts w:ascii="宋体" w:hAnsi="宋体"/>
                <w:b/>
                <w:color w:val="000000" w:themeColor="text1"/>
                <w:sz w:val="21"/>
                <w:szCs w:val="21"/>
              </w:rPr>
              <w:t>适用时</w:t>
            </w:r>
            <w:r>
              <w:rPr>
                <w:rFonts w:hint="eastAsia" w:ascii="宋体" w:hAnsi="宋体"/>
                <w:b/>
                <w:color w:val="000000" w:themeColor="text1"/>
                <w:sz w:val="21"/>
                <w:szCs w:val="21"/>
              </w:rPr>
              <w:t>）:</w:t>
            </w:r>
            <w:r>
              <w:rPr>
                <w:rFonts w:hint="eastAsia" w:ascii="宋体" w:hAnsi="宋体"/>
                <w:b w:val="0"/>
                <w:bCs/>
                <w:color w:val="000000" w:themeColor="text1"/>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5"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11 .</w:t>
            </w:r>
            <w:r>
              <w:rPr>
                <w:rFonts w:hint="eastAsia" w:ascii="宋体" w:hAnsi="宋体"/>
                <w:b/>
                <w:sz w:val="21"/>
                <w:szCs w:val="21"/>
              </w:rPr>
              <w:t>对危险化学品销售、使用、储存、运输处置，规定的执行力度</w:t>
            </w:r>
            <w:r>
              <w:rPr>
                <w:rFonts w:ascii="宋体" w:hAnsi="宋体"/>
                <w:b/>
                <w:sz w:val="21"/>
                <w:szCs w:val="21"/>
              </w:rPr>
              <w:t>(</w:t>
            </w:r>
            <w:r>
              <w:rPr>
                <w:rFonts w:hint="eastAsia" w:ascii="宋体" w:hAnsi="宋体"/>
                <w:b/>
                <w:sz w:val="21"/>
                <w:szCs w:val="21"/>
              </w:rPr>
              <w:t>必要时</w:t>
            </w:r>
            <w:r>
              <w:rPr>
                <w:rFonts w:ascii="宋体" w:hAnsi="宋体"/>
                <w:b/>
                <w:sz w:val="21"/>
                <w:szCs w:val="21"/>
              </w:rPr>
              <w:t>);</w:t>
            </w:r>
          </w:p>
          <w:p>
            <w:pPr>
              <w:spacing w:line="240" w:lineRule="exact"/>
              <w:rPr>
                <w:rFonts w:ascii="宋体" w:hAnsi="宋体"/>
                <w:b/>
                <w:sz w:val="21"/>
                <w:szCs w:val="21"/>
              </w:rPr>
            </w:pP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4" w:hRule="atLeast"/>
          <w:jc w:val="center"/>
        </w:trPr>
        <w:tc>
          <w:tcPr>
            <w:tcW w:w="720" w:type="dxa"/>
            <w:vMerge w:val="restart"/>
            <w:textDirection w:val="tbRlV"/>
            <w:vAlign w:val="center"/>
          </w:tcPr>
          <w:p>
            <w:pPr>
              <w:spacing w:line="240" w:lineRule="exact"/>
              <w:ind w:left="113" w:right="113"/>
              <w:jc w:val="center"/>
              <w:rPr>
                <w:rFonts w:ascii="宋体" w:hAnsi="宋体"/>
                <w:b/>
                <w:szCs w:val="21"/>
              </w:rPr>
            </w:pPr>
            <w:r>
              <w:rPr>
                <w:rFonts w:ascii="宋体" w:hAnsi="宋体"/>
                <w:b/>
                <w:szCs w:val="21"/>
              </w:rPr>
              <w:t>(</w:t>
            </w:r>
            <w:r>
              <w:rPr>
                <w:rFonts w:hint="eastAsia" w:ascii="宋体" w:hAnsi="宋体"/>
                <w:b/>
                <w:szCs w:val="21"/>
              </w:rPr>
              <w:t>四</w:t>
            </w:r>
            <w:r>
              <w:rPr>
                <w:rFonts w:ascii="宋体" w:hAnsi="宋体"/>
                <w:b/>
                <w:szCs w:val="21"/>
              </w:rPr>
              <w:t>)</w:t>
            </w:r>
            <w:r>
              <w:rPr>
                <w:rFonts w:hint="eastAsia" w:ascii="宋体" w:hAnsi="宋体"/>
                <w:b/>
                <w:szCs w:val="21"/>
              </w:rPr>
              <w:t>监视测量方面</w:t>
            </w: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1. .</w:t>
            </w:r>
            <w:r>
              <w:rPr>
                <w:rFonts w:hint="eastAsia" w:ascii="宋体" w:hAnsi="宋体"/>
                <w:b/>
                <w:sz w:val="21"/>
                <w:szCs w:val="21"/>
              </w:rPr>
              <w:t>对质量</w:t>
            </w:r>
            <w:r>
              <w:rPr>
                <w:rFonts w:ascii="宋体" w:hAnsi="宋体"/>
                <w:b/>
                <w:sz w:val="21"/>
                <w:szCs w:val="21"/>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rPr>
              <w:t>职业健康安全目标指标进行定期监测</w:t>
            </w:r>
            <w:r>
              <w:rPr>
                <w:rFonts w:ascii="宋体" w:hAnsi="宋体"/>
                <w:b/>
                <w:sz w:val="21"/>
                <w:szCs w:val="21"/>
              </w:rPr>
              <w:t>/</w:t>
            </w:r>
            <w:r>
              <w:rPr>
                <w:rFonts w:hint="eastAsia" w:ascii="宋体" w:hAnsi="宋体"/>
                <w:b/>
                <w:sz w:val="21"/>
                <w:szCs w:val="21"/>
              </w:rPr>
              <w:t>检查情况</w:t>
            </w:r>
          </w:p>
          <w:p>
            <w:pPr>
              <w:spacing w:line="240" w:lineRule="exact"/>
              <w:ind w:firstLine="525" w:firstLineChars="250"/>
              <w:rPr>
                <w:rFonts w:ascii="宋体" w:hAnsi="宋体"/>
                <w:b/>
                <w:sz w:val="21"/>
                <w:szCs w:val="21"/>
              </w:rPr>
            </w:pPr>
            <w:r>
              <w:rPr>
                <w:rFonts w:hint="eastAsia" w:ascii="宋体" w:hAnsi="宋体" w:cs="宋体"/>
                <w:sz w:val="21"/>
                <w:szCs w:val="21"/>
              </w:rPr>
              <w:t>公司制定、发布了总体质量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202</w:t>
            </w:r>
            <w:r>
              <w:rPr>
                <w:rFonts w:hint="eastAsia" w:ascii="宋体" w:hAnsi="宋体" w:cs="宋体"/>
                <w:sz w:val="21"/>
                <w:szCs w:val="21"/>
                <w:lang w:val="en-US" w:eastAsia="zh-CN"/>
              </w:rPr>
              <w:t>1</w:t>
            </w:r>
            <w:r>
              <w:rPr>
                <w:rFonts w:hint="eastAsia" w:ascii="宋体" w:hAnsi="宋体" w:cs="宋体"/>
                <w:sz w:val="21"/>
                <w:szCs w:val="21"/>
              </w:rPr>
              <w:t>年1-202</w:t>
            </w:r>
            <w:r>
              <w:rPr>
                <w:rFonts w:hint="eastAsia" w:ascii="宋体" w:hAnsi="宋体" w:cs="宋体"/>
                <w:sz w:val="21"/>
                <w:szCs w:val="21"/>
                <w:lang w:val="en-US" w:eastAsia="zh-CN"/>
              </w:rPr>
              <w:t>1</w:t>
            </w:r>
            <w:r>
              <w:rPr>
                <w:rFonts w:hint="eastAsia" w:ascii="宋体" w:hAnsi="宋体" w:cs="宋体"/>
                <w:sz w:val="21"/>
                <w:szCs w:val="21"/>
              </w:rPr>
              <w:t>年</w:t>
            </w:r>
            <w:r>
              <w:rPr>
                <w:rFonts w:hint="eastAsia" w:ascii="宋体" w:hAnsi="宋体" w:cs="宋体"/>
                <w:sz w:val="21"/>
                <w:szCs w:val="21"/>
                <w:lang w:val="en-US" w:eastAsia="zh-CN"/>
              </w:rPr>
              <w:t>5</w:t>
            </w:r>
            <w:r>
              <w:rPr>
                <w:rFonts w:hint="eastAsia" w:ascii="宋体" w:hAnsi="宋体" w:cs="宋体"/>
                <w:sz w:val="21"/>
                <w:szCs w:val="21"/>
              </w:rPr>
              <w:t>月质量目标的测量，总体已达到或超过了规定的目标值。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1"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numPr>
                <w:ilvl w:val="0"/>
                <w:numId w:val="5"/>
              </w:numPr>
              <w:spacing w:line="240" w:lineRule="exact"/>
              <w:ind w:left="105" w:hanging="105" w:hangingChars="50"/>
              <w:rPr>
                <w:rFonts w:ascii="宋体" w:hAnsi="宋体"/>
                <w:b/>
                <w:sz w:val="21"/>
                <w:szCs w:val="21"/>
              </w:rPr>
            </w:pPr>
            <w:r>
              <w:rPr>
                <w:rFonts w:hint="eastAsia" w:ascii="宋体" w:hAnsi="宋体"/>
                <w:b/>
                <w:sz w:val="21"/>
                <w:szCs w:val="21"/>
              </w:rPr>
              <w:t>顾客满意</w:t>
            </w:r>
          </w:p>
          <w:p>
            <w:pPr>
              <w:numPr>
                <w:ilvl w:val="0"/>
                <w:numId w:val="5"/>
              </w:numPr>
              <w:spacing w:line="240" w:lineRule="exact"/>
              <w:ind w:left="105" w:hanging="105" w:hangingChars="50"/>
              <w:rPr>
                <w:rFonts w:ascii="宋体" w:hAnsi="宋体"/>
                <w:b/>
                <w:sz w:val="21"/>
                <w:szCs w:val="21"/>
              </w:rPr>
            </w:pPr>
            <w:r>
              <w:rPr>
                <w:rFonts w:hint="eastAsia" w:ascii="宋体" w:hAnsi="宋体" w:cs="宋体"/>
                <w:sz w:val="21"/>
                <w:szCs w:val="21"/>
              </w:rPr>
              <w:t>公司建立了《顾客满意程度评价程序》，对顾客投诉处理及顾客满意度评价做了明确的规定，并按规定对顾客反馈及时处理，但在顾客反馈信息的利用上不够，需要改善。近年来未发生重大顾客投诉和产品质量事故。顾客满意度调查按规定实施，202</w:t>
            </w:r>
            <w:r>
              <w:rPr>
                <w:rFonts w:hint="eastAsia" w:ascii="宋体" w:hAnsi="宋体" w:cs="宋体"/>
                <w:sz w:val="21"/>
                <w:szCs w:val="21"/>
                <w:lang w:val="en-US" w:eastAsia="zh-CN"/>
              </w:rPr>
              <w:t>1</w:t>
            </w:r>
            <w:r>
              <w:rPr>
                <w:rFonts w:hint="eastAsia" w:ascii="宋体" w:hAnsi="宋体" w:cs="宋体"/>
                <w:sz w:val="21"/>
                <w:szCs w:val="21"/>
              </w:rPr>
              <w:t>年</w:t>
            </w:r>
            <w:r>
              <w:rPr>
                <w:rFonts w:hint="eastAsia" w:ascii="宋体" w:hAnsi="宋体" w:cs="宋体"/>
                <w:sz w:val="21"/>
                <w:szCs w:val="21"/>
                <w:lang w:val="en-US" w:eastAsia="zh-CN"/>
              </w:rPr>
              <w:t>1</w:t>
            </w:r>
            <w:r>
              <w:rPr>
                <w:rFonts w:hint="eastAsia" w:ascii="宋体" w:hAnsi="宋体" w:cs="宋体"/>
                <w:sz w:val="21"/>
                <w:szCs w:val="21"/>
              </w:rPr>
              <w:t>月实施，满意度评价9</w:t>
            </w:r>
            <w:r>
              <w:rPr>
                <w:rFonts w:hint="eastAsia" w:ascii="宋体" w:hAnsi="宋体" w:cs="宋体"/>
                <w:sz w:val="21"/>
                <w:szCs w:val="21"/>
                <w:lang w:val="en-US" w:eastAsia="zh-CN"/>
              </w:rPr>
              <w:t>7</w:t>
            </w:r>
            <w:r>
              <w:rPr>
                <w:rFonts w:hint="eastAsia" w:ascii="宋体" w:hAnsi="宋体" w:cs="宋体"/>
                <w:sz w:val="21"/>
                <w:szCs w:val="21"/>
              </w:rPr>
              <w:t>%，总体实现了顾客满意度的质量目标要求。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4"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3. </w:t>
            </w:r>
            <w:r>
              <w:rPr>
                <w:rFonts w:hint="eastAsia" w:ascii="宋体" w:hAnsi="宋体"/>
                <w:b/>
                <w:sz w:val="21"/>
                <w:szCs w:val="21"/>
              </w:rPr>
              <w:t>内审（包括内审策划审核方案中考虑拟审核的过程和区域的状况和重要性）</w:t>
            </w:r>
          </w:p>
          <w:p>
            <w:pPr>
              <w:spacing w:line="240" w:lineRule="exact"/>
              <w:ind w:firstLine="420" w:firstLineChars="200"/>
              <w:rPr>
                <w:rFonts w:ascii="宋体" w:hAnsi="宋体"/>
                <w:b/>
                <w:sz w:val="21"/>
                <w:szCs w:val="21"/>
              </w:rPr>
            </w:pPr>
            <w:r>
              <w:rPr>
                <w:rFonts w:hint="eastAsia" w:ascii="宋体" w:hAnsi="宋体" w:eastAsia="宋体" w:cs="宋体"/>
                <w:sz w:val="21"/>
                <w:szCs w:val="21"/>
              </w:rPr>
              <w:t>建立有《内部审核控制程序》，规定了内审频次一年一次，内审时间：2021年1月15日，拟定了审核实施表，明确了内审范围，内审人员经培训合格上岗，能力满足要求，未出现审核本部门情况，内审不符合项1项，涉及生产部8.5.</w:t>
            </w:r>
            <w:r>
              <w:rPr>
                <w:rFonts w:hint="eastAsia" w:ascii="宋体" w:hAnsi="宋体" w:eastAsia="宋体" w:cs="宋体"/>
                <w:sz w:val="21"/>
                <w:szCs w:val="21"/>
                <w:lang w:val="en-US" w:eastAsia="zh-CN"/>
              </w:rPr>
              <w:t>1</w:t>
            </w:r>
            <w:r>
              <w:rPr>
                <w:rFonts w:hint="eastAsia" w:ascii="宋体" w:hAnsi="宋体" w:eastAsia="宋体" w:cs="宋体"/>
                <w:sz w:val="21"/>
                <w:szCs w:val="21"/>
              </w:rPr>
              <w:t>条款“</w:t>
            </w:r>
            <w:r>
              <w:rPr>
                <w:rFonts w:hint="eastAsia" w:ascii="宋体" w:hAnsi="宋体" w:eastAsia="宋体" w:cs="宋体"/>
                <w:sz w:val="21"/>
                <w:szCs w:val="21"/>
                <w:lang w:val="zh-CN"/>
              </w:rPr>
              <w:t>在生产现场的作业指导书残缺不全</w:t>
            </w:r>
            <w:r>
              <w:rPr>
                <w:rFonts w:hint="default" w:ascii="宋体" w:hAnsi="宋体" w:eastAsia="宋体" w:cs="宋体"/>
                <w:sz w:val="21"/>
                <w:szCs w:val="21"/>
                <w:lang w:val="en-US" w:eastAsia="zh-CN"/>
              </w:rPr>
              <w:t>”</w:t>
            </w:r>
            <w:r>
              <w:rPr>
                <w:rFonts w:hint="eastAsia" w:ascii="宋体" w:hAnsi="宋体" w:eastAsia="宋体" w:cs="宋体"/>
                <w:sz w:val="21"/>
                <w:szCs w:val="21"/>
              </w:rPr>
              <w:t>，针对该不符合项，已及时采取纠正措施后，经内审员验证关闭。内审的有效性需要改善。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4.</w:t>
            </w:r>
            <w:r>
              <w:rPr>
                <w:rFonts w:hint="eastAsia" w:ascii="宋体" w:hAnsi="宋体"/>
                <w:b/>
                <w:sz w:val="21"/>
                <w:szCs w:val="21"/>
              </w:rPr>
              <w:t>管理评审（管理评审体系变更需求，纠正和预防措施、体系有效性等）</w:t>
            </w:r>
          </w:p>
          <w:p>
            <w:pPr>
              <w:spacing w:line="240" w:lineRule="exact"/>
              <w:ind w:firstLine="420" w:firstLineChars="200"/>
              <w:rPr>
                <w:rFonts w:ascii="宋体" w:hAnsi="宋体"/>
                <w:b/>
                <w:sz w:val="21"/>
                <w:szCs w:val="21"/>
              </w:rPr>
            </w:pPr>
            <w:r>
              <w:rPr>
                <w:rFonts w:hint="eastAsia" w:ascii="宋体" w:hAnsi="宋体" w:cs="宋体"/>
                <w:color w:val="000000" w:themeColor="text1"/>
                <w:sz w:val="21"/>
                <w:szCs w:val="21"/>
                <w:lang w:val="zh-CN"/>
              </w:rPr>
              <w:t>管理评审频次为一年一次、本次管理评审于202</w:t>
            </w:r>
            <w:r>
              <w:rPr>
                <w:rFonts w:hint="eastAsia" w:ascii="宋体" w:hAnsi="宋体" w:cs="宋体"/>
                <w:color w:val="000000" w:themeColor="text1"/>
                <w:sz w:val="21"/>
                <w:szCs w:val="21"/>
                <w:lang w:val="en-US" w:eastAsia="zh-CN"/>
              </w:rPr>
              <w:t>1</w:t>
            </w:r>
            <w:r>
              <w:rPr>
                <w:rFonts w:hint="eastAsia" w:ascii="宋体" w:hAnsi="宋体" w:cs="宋体"/>
                <w:color w:val="000000" w:themeColor="text1"/>
                <w:sz w:val="21"/>
                <w:szCs w:val="21"/>
                <w:lang w:val="zh-CN"/>
              </w:rPr>
              <w:t>年1月</w:t>
            </w:r>
            <w:r>
              <w:rPr>
                <w:rFonts w:hint="eastAsia" w:ascii="宋体" w:hAnsi="宋体" w:cs="宋体"/>
                <w:color w:val="000000" w:themeColor="text1"/>
                <w:sz w:val="21"/>
                <w:szCs w:val="21"/>
                <w:lang w:val="en-US" w:eastAsia="zh-CN"/>
              </w:rPr>
              <w:t>3</w:t>
            </w:r>
            <w:r>
              <w:rPr>
                <w:rFonts w:hint="eastAsia" w:ascii="宋体" w:hAnsi="宋体" w:cs="宋体"/>
                <w:color w:val="000000" w:themeColor="text1"/>
                <w:sz w:val="21"/>
                <w:szCs w:val="21"/>
              </w:rPr>
              <w:t>0</w:t>
            </w:r>
            <w:r>
              <w:rPr>
                <w:rFonts w:hint="eastAsia" w:ascii="宋体" w:hAnsi="宋体" w:cs="宋体"/>
                <w:color w:val="000000" w:themeColor="text1"/>
                <w:sz w:val="21"/>
                <w:szCs w:val="21"/>
                <w:lang w:val="zh-CN"/>
              </w:rPr>
              <w:t>日由总经理主持完成、提供主要输入材料有各部门总结，输入信息基本充分和满足要求。输出见“管理评审报告”, 做出了管理体系基本适宜、充分和有效的评审结论，对上次管理评审提出的改进措施验证有效实施。管理评审的输入、输出不具体，需要改善。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0"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ind w:left="-120" w:leftChars="-50"/>
              <w:rPr>
                <w:rFonts w:ascii="宋体" w:hAnsi="宋体"/>
                <w:b/>
                <w:sz w:val="21"/>
                <w:szCs w:val="21"/>
              </w:rPr>
            </w:pPr>
            <w:r>
              <w:rPr>
                <w:rFonts w:hint="eastAsia" w:ascii="宋体" w:hAnsi="宋体"/>
                <w:b/>
                <w:sz w:val="21"/>
                <w:szCs w:val="21"/>
              </w:rPr>
              <w:t>5、</w:t>
            </w:r>
            <w:r>
              <w:rPr>
                <w:rFonts w:ascii="宋体" w:hAnsi="宋体"/>
                <w:b/>
                <w:sz w:val="21"/>
                <w:szCs w:val="21"/>
              </w:rPr>
              <w:t xml:space="preserve"> EMS</w:t>
            </w:r>
            <w:r>
              <w:rPr>
                <w:rFonts w:hint="eastAsia" w:ascii="宋体" w:hAnsi="宋体"/>
                <w:b/>
                <w:sz w:val="21"/>
                <w:szCs w:val="21"/>
              </w:rPr>
              <w:t>是否按规定对主要污染物（污水、废气、噪声、废渣等）及排放实施了例行的监视或测量，结果是否满足相关要求？</w:t>
            </w:r>
          </w:p>
          <w:p>
            <w:pPr>
              <w:spacing w:line="240" w:lineRule="exact"/>
              <w:ind w:left="-120" w:leftChars="-50"/>
              <w:rPr>
                <w:rFonts w:ascii="宋体" w:hAnsi="宋体"/>
                <w:b/>
                <w:sz w:val="21"/>
                <w:szCs w:val="21"/>
              </w:rPr>
            </w:pP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720" w:type="dxa"/>
            <w:vMerge w:val="continue"/>
            <w:vAlign w:val="center"/>
          </w:tcPr>
          <w:p>
            <w:pPr>
              <w:spacing w:line="240" w:lineRule="exact"/>
              <w:jc w:val="center"/>
              <w:rPr>
                <w:b/>
                <w:sz w:val="20"/>
              </w:rPr>
            </w:pPr>
          </w:p>
        </w:tc>
        <w:tc>
          <w:tcPr>
            <w:tcW w:w="9198" w:type="dxa"/>
          </w:tcPr>
          <w:p>
            <w:pPr>
              <w:numPr>
                <w:ilvl w:val="0"/>
                <w:numId w:val="6"/>
              </w:numPr>
              <w:spacing w:line="240" w:lineRule="exact"/>
              <w:ind w:left="105" w:hanging="105" w:hangingChars="50"/>
              <w:rPr>
                <w:rFonts w:ascii="宋体" w:hAnsi="宋体"/>
                <w:b/>
                <w:sz w:val="21"/>
                <w:szCs w:val="21"/>
              </w:rPr>
            </w:pPr>
            <w:r>
              <w:rPr>
                <w:rFonts w:ascii="宋体" w:hAnsi="宋体"/>
                <w:b/>
                <w:sz w:val="21"/>
                <w:szCs w:val="21"/>
              </w:rPr>
              <w:t xml:space="preserve"> EMS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地方环保部门监测结果、新改扩建项目符合环评报告、三同时验收报告要求情况及措施</w:t>
            </w:r>
            <w:r>
              <w:rPr>
                <w:rFonts w:ascii="宋体" w:hAnsi="宋体"/>
                <w:b/>
                <w:sz w:val="21"/>
                <w:szCs w:val="21"/>
              </w:rPr>
              <w:t>(98</w:t>
            </w:r>
            <w:r>
              <w:rPr>
                <w:rFonts w:hint="eastAsia" w:ascii="宋体" w:hAnsi="宋体"/>
                <w:b/>
                <w:sz w:val="21"/>
                <w:szCs w:val="21"/>
              </w:rPr>
              <w:t>年后</w:t>
            </w:r>
            <w:r>
              <w:rPr>
                <w:rFonts w:ascii="宋体" w:hAnsi="宋体"/>
                <w:b/>
                <w:sz w:val="21"/>
                <w:szCs w:val="21"/>
              </w:rPr>
              <w:t>)</w:t>
            </w:r>
          </w:p>
          <w:p>
            <w:pPr>
              <w:spacing w:line="240" w:lineRule="exact"/>
              <w:ind w:left="-120" w:leftChars="-50"/>
              <w:rPr>
                <w:rFonts w:ascii="宋体" w:hAnsi="宋体"/>
                <w:b/>
                <w:sz w:val="21"/>
                <w:szCs w:val="21"/>
              </w:rPr>
            </w:pPr>
            <w:r>
              <w:rPr>
                <w:rFonts w:hint="eastAsia" w:ascii="宋体" w:hAnsi="宋体"/>
                <w:b/>
                <w:sz w:val="21"/>
                <w:szCs w:val="21"/>
              </w:rPr>
              <w:t>\</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6" w:hRule="atLeast"/>
          <w:jc w:val="center"/>
        </w:trPr>
        <w:tc>
          <w:tcPr>
            <w:tcW w:w="720" w:type="dxa"/>
            <w:vMerge w:val="continue"/>
            <w:vAlign w:val="center"/>
          </w:tcPr>
          <w:p>
            <w:pPr>
              <w:spacing w:line="240" w:lineRule="exact"/>
              <w:jc w:val="center"/>
              <w:rPr>
                <w:b/>
                <w:sz w:val="20"/>
              </w:rPr>
            </w:pPr>
          </w:p>
        </w:tc>
        <w:tc>
          <w:tcPr>
            <w:tcW w:w="9198" w:type="dxa"/>
          </w:tcPr>
          <w:p>
            <w:pPr>
              <w:numPr>
                <w:ilvl w:val="0"/>
                <w:numId w:val="7"/>
              </w:numPr>
              <w:spacing w:line="240" w:lineRule="exact"/>
              <w:ind w:left="105" w:hanging="105" w:hangingChars="50"/>
              <w:rPr>
                <w:rFonts w:ascii="宋体" w:hAnsi="宋体"/>
                <w:b/>
                <w:sz w:val="21"/>
                <w:szCs w:val="21"/>
              </w:rPr>
            </w:pPr>
            <w:r>
              <w:rPr>
                <w:rFonts w:ascii="宋体" w:hAnsi="宋体"/>
                <w:b/>
                <w:sz w:val="21"/>
                <w:szCs w:val="21"/>
              </w:rPr>
              <w:t>OHSMS</w:t>
            </w:r>
            <w:r>
              <w:rPr>
                <w:rFonts w:hint="eastAsia" w:ascii="宋体" w:hAnsi="宋体"/>
                <w:b/>
                <w:sz w:val="21"/>
                <w:szCs w:val="21"/>
              </w:rPr>
              <w:t>是否按规定对职业健康安全项目进行定期测量，结果是否满足相关要求：</w:t>
            </w:r>
          </w:p>
          <w:p>
            <w:pPr>
              <w:spacing w:line="240" w:lineRule="exact"/>
              <w:ind w:left="-120" w:leftChars="-50" w:firstLine="422" w:firstLineChars="200"/>
              <w:rPr>
                <w:rFonts w:ascii="宋体" w:hAnsi="宋体"/>
                <w:b/>
                <w:sz w:val="21"/>
                <w:szCs w:val="21"/>
              </w:rPr>
            </w:pP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720" w:type="dxa"/>
            <w:vMerge w:val="continue"/>
            <w:vAlign w:val="center"/>
          </w:tcPr>
          <w:p>
            <w:pPr>
              <w:spacing w:line="240" w:lineRule="exact"/>
              <w:jc w:val="center"/>
              <w:rPr>
                <w:b/>
                <w:sz w:val="20"/>
              </w:rPr>
            </w:pPr>
          </w:p>
        </w:tc>
        <w:tc>
          <w:tcPr>
            <w:tcW w:w="9198" w:type="dxa"/>
          </w:tcPr>
          <w:p>
            <w:pPr>
              <w:numPr>
                <w:ilvl w:val="0"/>
                <w:numId w:val="8"/>
              </w:numPr>
              <w:spacing w:line="240" w:lineRule="exact"/>
              <w:rPr>
                <w:rFonts w:ascii="宋体" w:hAnsi="宋体"/>
                <w:b/>
                <w:sz w:val="21"/>
                <w:szCs w:val="21"/>
              </w:rPr>
            </w:pPr>
            <w:r>
              <w:rPr>
                <w:rFonts w:ascii="宋体" w:hAnsi="宋体"/>
                <w:b/>
                <w:sz w:val="21"/>
                <w:szCs w:val="21"/>
              </w:rPr>
              <w:t>OHSMS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地方职业健康安全部门监督检查情况及措施</w:t>
            </w:r>
          </w:p>
          <w:p>
            <w:pPr>
              <w:spacing w:line="240" w:lineRule="exact"/>
              <w:rPr>
                <w:rFonts w:ascii="宋体" w:hAnsi="宋体"/>
                <w:b/>
                <w:sz w:val="21"/>
                <w:szCs w:val="21"/>
              </w:rPr>
            </w:pPr>
          </w:p>
          <w:p>
            <w:pPr>
              <w:spacing w:line="240" w:lineRule="exact"/>
              <w:rPr>
                <w:rFonts w:ascii="宋体" w:hAnsi="宋体"/>
                <w:b/>
                <w:sz w:val="21"/>
                <w:szCs w:val="21"/>
              </w:rPr>
            </w:pP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vAlign w:val="center"/>
          </w:tcPr>
          <w:p>
            <w:pPr>
              <w:spacing w:line="240" w:lineRule="exact"/>
              <w:jc w:val="center"/>
              <w:rPr>
                <w:b/>
                <w:sz w:val="20"/>
              </w:rPr>
            </w:pPr>
          </w:p>
        </w:tc>
        <w:tc>
          <w:tcPr>
            <w:tcW w:w="9198" w:type="dxa"/>
          </w:tcPr>
          <w:p>
            <w:pPr>
              <w:widowControl/>
              <w:spacing w:line="240" w:lineRule="exact"/>
              <w:rPr>
                <w:rFonts w:ascii="宋体" w:hAnsi="宋体"/>
                <w:b/>
                <w:sz w:val="21"/>
                <w:szCs w:val="21"/>
              </w:rPr>
            </w:pPr>
            <w:r>
              <w:rPr>
                <w:rFonts w:ascii="宋体" w:hAnsi="宋体"/>
                <w:b/>
                <w:sz w:val="21"/>
                <w:szCs w:val="21"/>
              </w:rPr>
              <w:t xml:space="preserve">9. </w:t>
            </w:r>
            <w:r>
              <w:rPr>
                <w:rFonts w:hint="eastAsia" w:ascii="宋体" w:hAnsi="宋体"/>
                <w:b/>
                <w:sz w:val="21"/>
                <w:szCs w:val="21"/>
              </w:rPr>
              <w:t>其他能够标明组织绩效、信誉的证据</w:t>
            </w:r>
            <w:r>
              <w:rPr>
                <w:rFonts w:ascii="宋体" w:hAnsi="宋体"/>
                <w:b/>
                <w:sz w:val="21"/>
                <w:szCs w:val="21"/>
              </w:rPr>
              <w:t>/</w:t>
            </w:r>
            <w:r>
              <w:rPr>
                <w:rFonts w:hint="eastAsia" w:ascii="宋体" w:hAnsi="宋体"/>
                <w:b/>
                <w:sz w:val="21"/>
                <w:szCs w:val="21"/>
              </w:rPr>
              <w:t>信息：</w:t>
            </w:r>
            <w:r>
              <w:rPr>
                <w:rFonts w:hint="eastAsia" w:ascii="宋体" w:hAnsi="宋体"/>
                <w:b w:val="0"/>
                <w:bCs/>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jc w:val="center"/>
        </w:trPr>
        <w:tc>
          <w:tcPr>
            <w:tcW w:w="720" w:type="dxa"/>
            <w:vMerge w:val="restart"/>
            <w:vAlign w:val="center"/>
          </w:tcPr>
          <w:p>
            <w:pPr>
              <w:spacing w:line="240" w:lineRule="exact"/>
              <w:ind w:left="113" w:right="113"/>
              <w:jc w:val="center"/>
              <w:rPr>
                <w:rFonts w:ascii="宋体" w:hAnsi="宋体"/>
                <w:b/>
                <w:szCs w:val="21"/>
              </w:rPr>
            </w:pPr>
            <w:r>
              <w:rPr>
                <w:rFonts w:hint="eastAsia" w:ascii="宋体" w:hAnsi="宋体"/>
                <w:b/>
                <w:szCs w:val="21"/>
              </w:rPr>
              <w:t>(五)持</w:t>
            </w:r>
          </w:p>
          <w:p>
            <w:pPr>
              <w:spacing w:line="240" w:lineRule="exact"/>
              <w:ind w:left="113" w:right="113"/>
              <w:jc w:val="center"/>
              <w:rPr>
                <w:rFonts w:ascii="宋体" w:hAnsi="宋体"/>
                <w:b/>
                <w:szCs w:val="21"/>
              </w:rPr>
            </w:pPr>
            <w:r>
              <w:rPr>
                <w:rFonts w:hint="eastAsia" w:ascii="宋体" w:hAnsi="宋体"/>
                <w:b/>
                <w:szCs w:val="21"/>
              </w:rPr>
              <w:t>续</w:t>
            </w:r>
          </w:p>
          <w:p>
            <w:pPr>
              <w:spacing w:line="240" w:lineRule="exact"/>
              <w:ind w:left="113" w:right="113"/>
              <w:jc w:val="center"/>
              <w:rPr>
                <w:rFonts w:ascii="宋体" w:hAnsi="宋体"/>
                <w:b/>
                <w:szCs w:val="21"/>
              </w:rPr>
            </w:pPr>
            <w:r>
              <w:rPr>
                <w:rFonts w:hint="eastAsia" w:ascii="宋体" w:hAnsi="宋体"/>
                <w:b/>
                <w:szCs w:val="21"/>
              </w:rPr>
              <w:t>改</w:t>
            </w:r>
          </w:p>
          <w:p>
            <w:pPr>
              <w:spacing w:line="240" w:lineRule="exact"/>
              <w:ind w:left="113" w:right="113"/>
              <w:jc w:val="center"/>
              <w:rPr>
                <w:b/>
                <w:sz w:val="20"/>
              </w:rPr>
            </w:pPr>
            <w:r>
              <w:rPr>
                <w:rFonts w:hint="eastAsia" w:ascii="宋体" w:hAnsi="宋体"/>
                <w:b/>
                <w:szCs w:val="21"/>
              </w:rPr>
              <w:t>进</w:t>
            </w:r>
          </w:p>
        </w:tc>
        <w:tc>
          <w:tcPr>
            <w:tcW w:w="9198" w:type="dxa"/>
          </w:tcPr>
          <w:p>
            <w:pPr>
              <w:spacing w:line="24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纠正措施的实施及效果</w:t>
            </w:r>
            <w:r>
              <w:rPr>
                <w:rFonts w:ascii="宋体" w:hAnsi="宋体"/>
                <w:b/>
                <w:sz w:val="21"/>
                <w:szCs w:val="21"/>
              </w:rPr>
              <w:t>;</w:t>
            </w:r>
          </w:p>
          <w:p>
            <w:pPr>
              <w:spacing w:line="240" w:lineRule="exact"/>
              <w:ind w:firstLine="420" w:firstLineChars="200"/>
              <w:rPr>
                <w:rFonts w:ascii="宋体" w:hAnsi="宋体"/>
                <w:b/>
                <w:sz w:val="21"/>
                <w:szCs w:val="21"/>
              </w:rPr>
            </w:pPr>
            <w:r>
              <w:rPr>
                <w:rFonts w:hint="eastAsia" w:ascii="宋体" w:hAnsi="宋体" w:cs="宋体"/>
                <w:color w:val="000000"/>
                <w:sz w:val="21"/>
                <w:szCs w:val="21"/>
              </w:rPr>
              <w:t>公司明确通过对内、外审核结果、管理评审输出、监测和测量等活动中识别出在产品/服务、过程、管理体系等方面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纠正措施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jc w:val="center"/>
        </w:trPr>
        <w:tc>
          <w:tcPr>
            <w:tcW w:w="720" w:type="dxa"/>
            <w:vMerge w:val="continue"/>
            <w:vAlign w:val="center"/>
          </w:tcPr>
          <w:p>
            <w:pPr>
              <w:spacing w:line="240" w:lineRule="exact"/>
              <w:jc w:val="center"/>
              <w:rPr>
                <w:b/>
                <w:sz w:val="20"/>
              </w:rPr>
            </w:pPr>
          </w:p>
        </w:tc>
        <w:tc>
          <w:tcPr>
            <w:tcW w:w="9198" w:type="dxa"/>
          </w:tcPr>
          <w:p>
            <w:pPr>
              <w:numPr>
                <w:ilvl w:val="0"/>
                <w:numId w:val="9"/>
              </w:numPr>
              <w:spacing w:line="240" w:lineRule="exact"/>
              <w:rPr>
                <w:rFonts w:ascii="宋体" w:hAnsi="宋体"/>
                <w:b/>
                <w:sz w:val="21"/>
                <w:szCs w:val="21"/>
              </w:rPr>
            </w:pPr>
            <w:r>
              <w:rPr>
                <w:rFonts w:hint="eastAsia" w:ascii="宋体" w:hAnsi="宋体"/>
                <w:b/>
                <w:sz w:val="21"/>
                <w:szCs w:val="21"/>
              </w:rPr>
              <w:t>（上次审核后）重大事故、顾客</w:t>
            </w:r>
            <w:r>
              <w:rPr>
                <w:rFonts w:ascii="宋体" w:hAnsi="宋体"/>
                <w:b/>
                <w:sz w:val="21"/>
                <w:szCs w:val="21"/>
              </w:rPr>
              <w:t>/</w:t>
            </w:r>
            <w:r>
              <w:rPr>
                <w:rFonts w:hint="eastAsia" w:ascii="宋体" w:hAnsi="宋体"/>
                <w:b/>
                <w:sz w:val="21"/>
                <w:szCs w:val="21"/>
              </w:rPr>
              <w:t>相关方投诉：</w:t>
            </w:r>
          </w:p>
          <w:p>
            <w:pPr>
              <w:spacing w:line="240" w:lineRule="exact"/>
              <w:rPr>
                <w:rFonts w:ascii="宋体" w:hAnsi="宋体"/>
                <w:b/>
                <w:sz w:val="21"/>
                <w:szCs w:val="21"/>
              </w:rPr>
            </w:pPr>
            <w:r>
              <w:rPr>
                <w:rFonts w:hint="eastAsia" w:ascii="宋体" w:hAnsi="宋体"/>
                <w:b w:val="0"/>
                <w:bCs/>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3. </w:t>
            </w:r>
            <w:r>
              <w:rPr>
                <w:rFonts w:hint="eastAsia" w:ascii="宋体" w:hAnsi="宋体"/>
                <w:b/>
                <w:sz w:val="21"/>
                <w:szCs w:val="21"/>
              </w:rPr>
              <w:t>创新情况：</w:t>
            </w:r>
            <w:r>
              <w:rPr>
                <w:rFonts w:hint="eastAsia" w:ascii="宋体" w:hAnsi="宋体"/>
                <w:b w:val="0"/>
                <w:bCs/>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4. </w:t>
            </w:r>
            <w:r>
              <w:rPr>
                <w:rFonts w:hint="eastAsia" w:ascii="宋体" w:hAnsi="宋体"/>
                <w:b/>
                <w:sz w:val="21"/>
                <w:szCs w:val="21"/>
              </w:rPr>
              <w:t>上次不符合的整改情况：上</w:t>
            </w:r>
            <w:r>
              <w:rPr>
                <w:rFonts w:hint="eastAsia"/>
                <w:b/>
                <w:szCs w:val="21"/>
              </w:rPr>
              <w:t>次不符合为</w:t>
            </w:r>
            <w:r>
              <w:rPr>
                <w:rFonts w:hint="eastAsia"/>
                <w:b/>
                <w:szCs w:val="21"/>
                <w:lang w:val="en-US" w:eastAsia="zh-CN"/>
              </w:rPr>
              <w:t>7.2</w:t>
            </w:r>
            <w:r>
              <w:rPr>
                <w:rFonts w:hint="eastAsia"/>
                <w:b/>
                <w:szCs w:val="21"/>
              </w:rPr>
              <w:t>，经本次审核验证均整改且无类似不符合情况出现</w:t>
            </w:r>
          </w:p>
        </w:tc>
      </w:tr>
    </w:tbl>
    <w:p>
      <w:pPr>
        <w:tabs>
          <w:tab w:val="left" w:pos="645"/>
        </w:tabs>
        <w:spacing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可能影响本次审核结论可靠性的因素：无</w:t>
      </w:r>
    </w:p>
    <w:tbl>
      <w:tblPr>
        <w:tblStyle w:val="6"/>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rPr>
          <w:rFonts w:ascii="宋体"/>
          <w:b/>
          <w:szCs w:val="21"/>
        </w:rPr>
      </w:pPr>
      <w:r>
        <w:rPr>
          <w:rFonts w:hint="eastAsia"/>
          <w:b/>
          <w:spacing w:val="-10"/>
          <w:szCs w:val="21"/>
        </w:rPr>
        <w:t>☑</w:t>
      </w:r>
      <w:r>
        <w:rPr>
          <w:rFonts w:hint="eastAsia" w:ascii="宋体" w:hAnsi="宋体"/>
          <w:b/>
          <w:szCs w:val="21"/>
        </w:rPr>
        <w:t>达到审核目的</w:t>
      </w:r>
    </w:p>
    <w:p>
      <w:pPr>
        <w:snapToGrid w:val="0"/>
        <w:spacing w:line="360" w:lineRule="auto"/>
        <w:rPr>
          <w:rFonts w:hint="eastAsia" w:ascii="宋体" w:hAnsi="宋体"/>
          <w:b/>
          <w:szCs w:val="21"/>
        </w:rPr>
      </w:pPr>
      <w:r>
        <w:rPr>
          <w:rFonts w:hint="eastAsia"/>
          <w:b/>
          <w:spacing w:val="-10"/>
          <w:szCs w:val="21"/>
        </w:rPr>
        <w:t>□未</w:t>
      </w:r>
      <w:r>
        <w:rPr>
          <w:rFonts w:hint="eastAsia" w:ascii="宋体" w:hAnsi="宋体"/>
          <w:b/>
          <w:szCs w:val="21"/>
        </w:rPr>
        <w:t>达到审核目的，未达到目的的原因是：</w:t>
      </w:r>
    </w:p>
    <w:p>
      <w:pPr>
        <w:snapToGrid w:val="0"/>
        <w:spacing w:line="360" w:lineRule="auto"/>
        <w:rPr>
          <w:b/>
          <w:sz w:val="16"/>
          <w:szCs w:val="16"/>
        </w:rPr>
      </w:pPr>
      <w:r>
        <w:rPr>
          <w:rFonts w:hint="eastAsia"/>
          <w:b/>
          <w:sz w:val="26"/>
          <w:szCs w:val="26"/>
        </w:rPr>
        <w:t>八、本次审核不符合项</w:t>
      </w:r>
    </w:p>
    <w:p>
      <w:pPr>
        <w:tabs>
          <w:tab w:val="left" w:pos="645"/>
        </w:tabs>
        <w:spacing w:beforeLines="50" w:afterLines="50" w:line="360" w:lineRule="exact"/>
        <w:rPr>
          <w:b/>
          <w:color w:val="000000" w:themeColor="text1"/>
          <w:sz w:val="26"/>
          <w:szCs w:val="26"/>
          <w14:textFill>
            <w14:solidFill>
              <w14:schemeClr w14:val="tx1"/>
            </w14:solidFill>
          </w14:textFill>
        </w:rPr>
      </w:pPr>
      <w:r>
        <w:rPr>
          <w:rFonts w:hint="eastAsia"/>
          <w:b/>
          <w:color w:val="000000" w:themeColor="text1"/>
          <w:sz w:val="26"/>
          <w:szCs w:val="26"/>
          <w14:textFill>
            <w14:solidFill>
              <w14:schemeClr w14:val="tx1"/>
            </w14:solidFill>
          </w14:textFill>
        </w:rPr>
        <w:t>本次审核Q共开具不符合项报告项：其中</w:t>
      </w:r>
      <w:r>
        <w:rPr>
          <w:b/>
          <w:color w:val="000000" w:themeColor="text1"/>
          <w:sz w:val="26"/>
          <w:szCs w:val="26"/>
          <w14:textFill>
            <w14:solidFill>
              <w14:schemeClr w14:val="tx1"/>
            </w14:solidFill>
          </w14:textFill>
        </w:rPr>
        <w:pict>
          <v:line id="直接连接符 1" o:spid="_x0000_s1029" o:spt="20" style="position:absolute;left:0pt;margin-left:210pt;margin-top:16.2pt;height:0pt;width:0.05pt;z-index:251661312;mso-width-relative:page;mso-height-relative:page;" coordsize="21600,21600" o:allowincell="f">
            <v:path arrowok="t"/>
            <v:fill focussize="0,0"/>
            <v:stroke/>
            <v:imagedata o:title=""/>
            <o:lock v:ext="edit"/>
          </v:line>
        </w:pict>
      </w:r>
      <w:r>
        <w:rPr>
          <w:rFonts w:hint="eastAsia"/>
          <w:b/>
          <w:color w:val="000000" w:themeColor="text1"/>
          <w:sz w:val="26"/>
          <w:szCs w:val="26"/>
          <w14:textFill>
            <w14:solidFill>
              <w14:schemeClr w14:val="tx1"/>
            </w14:solidFill>
          </w14:textFill>
        </w:rPr>
        <w:t>严重不符合 0项，一般不符合 1项，观察项0项。不符合项分布在</w:t>
      </w:r>
      <w:r>
        <w:rPr>
          <w:rFonts w:hint="eastAsia"/>
          <w:b/>
          <w:color w:val="000000" w:themeColor="text1"/>
          <w:sz w:val="26"/>
          <w:szCs w:val="26"/>
          <w:lang w:eastAsia="zh-CN"/>
          <w14:textFill>
            <w14:solidFill>
              <w14:schemeClr w14:val="tx1"/>
            </w14:solidFill>
          </w14:textFill>
        </w:rPr>
        <w:t>行政</w:t>
      </w:r>
      <w:r>
        <w:rPr>
          <w:rFonts w:hint="eastAsia"/>
          <w:b/>
          <w:color w:val="000000" w:themeColor="text1"/>
          <w:sz w:val="26"/>
          <w:szCs w:val="26"/>
          <w14:textFill>
            <w14:solidFill>
              <w14:schemeClr w14:val="tx1"/>
            </w14:solidFill>
          </w14:textFill>
        </w:rPr>
        <w:t>部</w:t>
      </w:r>
      <w:bookmarkStart w:id="31" w:name="_GoBack"/>
      <w:bookmarkEnd w:id="31"/>
      <w:r>
        <w:rPr>
          <w:rFonts w:hint="eastAsia"/>
          <w:b/>
          <w:color w:val="000000" w:themeColor="text1"/>
          <w:sz w:val="26"/>
          <w:szCs w:val="26"/>
          <w:lang w:val="en-US" w:eastAsia="zh-CN"/>
          <w14:textFill>
            <w14:solidFill>
              <w14:schemeClr w14:val="tx1"/>
            </w14:solidFill>
          </w14:textFill>
        </w:rPr>
        <w:t>7</w:t>
      </w:r>
      <w:r>
        <w:rPr>
          <w:rFonts w:hint="eastAsia"/>
          <w:b/>
          <w:color w:val="000000" w:themeColor="text1"/>
          <w:sz w:val="26"/>
          <w:szCs w:val="26"/>
          <w14:textFill>
            <w14:solidFill>
              <w14:schemeClr w14:val="tx1"/>
            </w14:solidFill>
          </w14:textFill>
        </w:rPr>
        <w:t>.2条款，见不符合项分布表。（Q/J/E/S分开填写）</w:t>
      </w:r>
    </w:p>
    <w:p>
      <w:pPr>
        <w:tabs>
          <w:tab w:val="left" w:pos="645"/>
        </w:tabs>
        <w:spacing w:afterLines="50" w:line="360" w:lineRule="exact"/>
        <w:rPr>
          <w:b/>
          <w:sz w:val="16"/>
          <w:szCs w:val="16"/>
        </w:rPr>
      </w:pPr>
      <w:r>
        <w:rPr>
          <w:rFonts w:hint="eastAsia"/>
          <w:b/>
          <w:sz w:val="26"/>
          <w:szCs w:val="26"/>
        </w:rPr>
        <w:t>九、审核结论</w:t>
      </w:r>
    </w:p>
    <w:tbl>
      <w:tblPr>
        <w:tblStyle w:val="6"/>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3" w:hRule="atLeast"/>
          <w:jc w:val="center"/>
        </w:trPr>
        <w:tc>
          <w:tcPr>
            <w:tcW w:w="9523" w:type="dxa"/>
            <w:vAlign w:val="center"/>
          </w:tcPr>
          <w:p>
            <w:pPr>
              <w:ind w:left="240" w:leftChars="100" w:firstLine="120" w:firstLineChars="50"/>
              <w:jc w:val="left"/>
              <w:rPr>
                <w:rFonts w:ascii="宋体" w:hAnsi="宋体"/>
                <w:b/>
                <w:szCs w:val="21"/>
              </w:rPr>
            </w:pPr>
            <w:r>
              <w:rPr>
                <w:rFonts w:ascii="宋体" w:hAnsi="宋体"/>
                <w:b/>
                <w:szCs w:val="21"/>
              </w:rPr>
              <w:t>1.</w:t>
            </w:r>
            <w:r>
              <w:rPr>
                <w:rFonts w:hint="eastAsia" w:ascii="宋体" w:hAnsi="宋体"/>
                <w:b/>
                <w:szCs w:val="21"/>
              </w:rPr>
              <w:t>☑</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rPr>
                <w:rFonts w:ascii="宋体" w:hAnsi="宋体"/>
                <w:b/>
                <w:szCs w:val="21"/>
              </w:rPr>
            </w:pPr>
            <w:r>
              <w:rPr>
                <w:rFonts w:hint="eastAsia" w:ascii="宋体" w:hAnsi="宋体"/>
                <w:b/>
                <w:szCs w:val="21"/>
              </w:rPr>
              <w:t>的适宜性、充分性、运行有效性，自我完善机制等，管理体系满足适用要求和实现预期结果的能力。</w:t>
            </w:r>
          </w:p>
          <w:p>
            <w:pPr>
              <w:tabs>
                <w:tab w:val="left" w:pos="2552"/>
              </w:tabs>
              <w:spacing w:beforeLines="50" w:afterLines="50" w:line="280" w:lineRule="exact"/>
              <w:ind w:firstLine="480" w:firstLineChars="200"/>
              <w:rPr>
                <w:rFonts w:ascii="宋体" w:hAnsi="宋体"/>
                <w:b/>
                <w:szCs w:val="21"/>
              </w:rPr>
            </w:pPr>
            <w:r>
              <w:rPr>
                <w:rFonts w:hint="eastAsia" w:ascii="微软雅黑" w:hAnsi="微软雅黑" w:eastAsia="微软雅黑"/>
                <w:bCs/>
                <w:szCs w:val="24"/>
              </w:rPr>
              <w:t>综上所述，审核组一致认为，（重庆宾鹏科技有限公司）的质量管理体系适宜、充分、得到良好的实施和保持，体系运行持续有效。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5" w:hRule="atLeast"/>
          <w:jc w:val="center"/>
        </w:trPr>
        <w:tc>
          <w:tcPr>
            <w:tcW w:w="9523" w:type="dxa"/>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ascii="宋体" w:hAnsi="宋体"/>
                <w:b/>
                <w:szCs w:val="21"/>
              </w:rPr>
            </w:pP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w:t>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b/>
                <w:sz w:val="26"/>
                <w:szCs w:val="26"/>
              </w:rPr>
            </w:pPr>
            <w:r>
              <w:rPr>
                <w:rFonts w:hint="eastAsia" w:ascii="宋体" w:hAnsi="宋体"/>
                <w:b/>
                <w:szCs w:val="21"/>
              </w:rPr>
              <w:t>延期推荐、不推荐或缩小认证范围的说明</w:t>
            </w:r>
            <w:r>
              <w:rPr>
                <w:rFonts w:ascii="宋体" w:hAnsi="宋体"/>
                <w:b/>
                <w:szCs w:val="21"/>
              </w:rPr>
              <w:t>:</w:t>
            </w:r>
          </w:p>
        </w:tc>
      </w:tr>
    </w:tbl>
    <w:p>
      <w:pPr>
        <w:tabs>
          <w:tab w:val="left" w:pos="645"/>
        </w:tabs>
        <w:spacing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pPr>
        <w:numPr>
          <w:ilvl w:val="0"/>
          <w:numId w:val="10"/>
        </w:numPr>
        <w:spacing w:beforeLines="50" w:afterLines="50"/>
        <w:ind w:left="-122" w:leftChars="-51" w:firstLine="128" w:firstLineChars="46"/>
        <w:rPr>
          <w:rFonts w:hint="eastAsia"/>
          <w:b/>
          <w:sz w:val="26"/>
          <w:szCs w:val="26"/>
        </w:rPr>
      </w:pPr>
      <w:r>
        <w:rPr>
          <w:rFonts w:hint="eastAsia" w:ascii="仿宋" w:hAnsi="仿宋" w:eastAsia="仿宋"/>
          <w:kern w:val="24"/>
          <w:sz w:val="28"/>
          <w:szCs w:val="28"/>
        </w:rPr>
        <w:t>任何影响审核方案的重要事项</w:t>
      </w:r>
      <w:r>
        <w:rPr>
          <w:rFonts w:hint="eastAsia"/>
          <w:b/>
          <w:sz w:val="26"/>
          <w:szCs w:val="26"/>
        </w:rPr>
        <w:t>：无</w:t>
      </w:r>
    </w:p>
    <w:p>
      <w:pPr>
        <w:numPr>
          <w:ilvl w:val="0"/>
          <w:numId w:val="0"/>
        </w:numPr>
        <w:spacing w:beforeLines="50" w:afterLines="50"/>
        <w:ind w:leftChars="-5"/>
        <w:rPr>
          <w:b/>
          <w:sz w:val="16"/>
          <w:szCs w:val="16"/>
        </w:rPr>
      </w:pPr>
      <w:r>
        <w:rPr>
          <w:rFonts w:hint="eastAsia"/>
          <w:b/>
          <w:sz w:val="22"/>
          <w:szCs w:val="22"/>
        </w:rPr>
        <w:drawing>
          <wp:anchor distT="0" distB="0" distL="114300" distR="114300" simplePos="0" relativeHeight="251663360" behindDoc="0" locked="0" layoutInCell="1" allowOverlap="1">
            <wp:simplePos x="0" y="0"/>
            <wp:positionH relativeFrom="column">
              <wp:posOffset>1667510</wp:posOffset>
            </wp:positionH>
            <wp:positionV relativeFrom="paragraph">
              <wp:posOffset>342900</wp:posOffset>
            </wp:positionV>
            <wp:extent cx="422910" cy="320040"/>
            <wp:effectExtent l="0" t="0" r="3810" b="0"/>
            <wp:wrapNone/>
            <wp:docPr id="2" name="图片 2"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签名.jpg"/>
                    <pic:cNvPicPr>
                      <a:picLocks noChangeAspect="1" noChangeArrowheads="1"/>
                    </pic:cNvPicPr>
                  </pic:nvPicPr>
                  <pic:blipFill>
                    <a:blip r:embed="rId6" cstate="print"/>
                    <a:srcRect/>
                    <a:stretch>
                      <a:fillRect/>
                    </a:stretch>
                  </pic:blipFill>
                  <pic:spPr>
                    <a:xfrm>
                      <a:off x="0" y="0"/>
                      <a:ext cx="422910" cy="320040"/>
                    </a:xfrm>
                    <a:prstGeom prst="rect">
                      <a:avLst/>
                    </a:prstGeom>
                    <a:noFill/>
                    <a:ln w="9525">
                      <a:noFill/>
                      <a:miter lim="800000"/>
                      <a:headEnd/>
                      <a:tailEnd/>
                    </a:ln>
                  </pic:spPr>
                </pic:pic>
              </a:graphicData>
            </a:graphic>
          </wp:anchor>
        </w:drawing>
      </w:r>
      <w:r>
        <w:rPr>
          <w:rFonts w:hint="eastAsia"/>
          <w:b/>
          <w:sz w:val="26"/>
          <w:szCs w:val="26"/>
        </w:rPr>
        <w:t>十二、审核组签字</w:t>
      </w:r>
    </w:p>
    <w:p>
      <w:pPr>
        <w:snapToGrid w:val="0"/>
        <w:spacing w:line="320" w:lineRule="exact"/>
        <w:ind w:firstLine="527" w:firstLineChars="250"/>
        <w:rPr>
          <w:b/>
          <w:sz w:val="21"/>
        </w:rPr>
      </w:pPr>
      <w:r>
        <w:rPr>
          <w:rFonts w:hint="eastAsia"/>
          <w:b/>
          <w:sz w:val="21"/>
        </w:rPr>
        <w:t>审核组组长（签名）：</w:t>
      </w:r>
    </w:p>
    <w:p>
      <w:pPr>
        <w:snapToGrid w:val="0"/>
        <w:spacing w:beforeLines="50" w:line="320" w:lineRule="exact"/>
        <w:ind w:firstLine="552" w:firstLineChars="250"/>
        <w:rPr>
          <w:b/>
          <w:sz w:val="21"/>
        </w:rPr>
      </w:pPr>
      <w:r>
        <w:rPr>
          <w:rFonts w:hint="eastAsia"/>
          <w:b/>
          <w:sz w:val="22"/>
          <w:szCs w:val="22"/>
        </w:rPr>
        <w:drawing>
          <wp:anchor distT="0" distB="0" distL="114300" distR="114300" simplePos="0" relativeHeight="251662336" behindDoc="0" locked="0" layoutInCell="1" allowOverlap="1">
            <wp:simplePos x="0" y="0"/>
            <wp:positionH relativeFrom="column">
              <wp:posOffset>1642110</wp:posOffset>
            </wp:positionH>
            <wp:positionV relativeFrom="paragraph">
              <wp:posOffset>113030</wp:posOffset>
            </wp:positionV>
            <wp:extent cx="422910" cy="320040"/>
            <wp:effectExtent l="0" t="0" r="3810" b="0"/>
            <wp:wrapNone/>
            <wp:docPr id="1" name="图片 1"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签名.jpg"/>
                    <pic:cNvPicPr>
                      <a:picLocks noChangeAspect="1" noChangeArrowheads="1"/>
                    </pic:cNvPicPr>
                  </pic:nvPicPr>
                  <pic:blipFill>
                    <a:blip r:embed="rId6" cstate="print"/>
                    <a:srcRect/>
                    <a:stretch>
                      <a:fillRect/>
                    </a:stretch>
                  </pic:blipFill>
                  <pic:spPr>
                    <a:xfrm>
                      <a:off x="0" y="0"/>
                      <a:ext cx="422910" cy="320040"/>
                    </a:xfrm>
                    <a:prstGeom prst="rect">
                      <a:avLst/>
                    </a:prstGeom>
                    <a:noFill/>
                    <a:ln w="9525">
                      <a:noFill/>
                      <a:miter lim="800000"/>
                      <a:headEnd/>
                      <a:tailEnd/>
                    </a:ln>
                  </pic:spPr>
                </pic:pic>
              </a:graphicData>
            </a:graphic>
          </wp:anchor>
        </w:drawing>
      </w:r>
      <w:r>
        <w:rPr>
          <w:rFonts w:hint="eastAsia"/>
          <w:b/>
          <w:sz w:val="21"/>
        </w:rPr>
        <w:t>审核组组员（签名）：</w:t>
      </w:r>
    </w:p>
    <w:p>
      <w:pPr>
        <w:snapToGrid w:val="0"/>
        <w:spacing w:line="280" w:lineRule="exact"/>
        <w:ind w:firstLine="6325" w:firstLineChars="3000"/>
        <w:rPr>
          <w:b/>
          <w:sz w:val="21"/>
        </w:rPr>
      </w:pPr>
      <w:r>
        <w:rPr>
          <w:rFonts w:hint="eastAsia"/>
          <w:b/>
          <w:sz w:val="21"/>
        </w:rPr>
        <w:t>日期：202</w:t>
      </w:r>
      <w:r>
        <w:rPr>
          <w:rFonts w:hint="eastAsia"/>
          <w:b/>
          <w:sz w:val="21"/>
          <w:lang w:val="en-US" w:eastAsia="zh-CN"/>
        </w:rPr>
        <w:t>1</w:t>
      </w:r>
      <w:r>
        <w:rPr>
          <w:rFonts w:hint="eastAsia"/>
          <w:b/>
          <w:sz w:val="21"/>
        </w:rPr>
        <w:t>年</w:t>
      </w:r>
      <w:r>
        <w:rPr>
          <w:rFonts w:hint="eastAsia"/>
          <w:b/>
          <w:sz w:val="21"/>
          <w:lang w:val="en-US" w:eastAsia="zh-CN"/>
        </w:rPr>
        <w:t>6</w:t>
      </w:r>
      <w:r>
        <w:rPr>
          <w:rFonts w:hint="eastAsia"/>
          <w:b/>
          <w:sz w:val="21"/>
        </w:rPr>
        <w:t>月</w:t>
      </w:r>
      <w:r>
        <w:rPr>
          <w:rFonts w:hint="eastAsia"/>
          <w:b/>
          <w:sz w:val="21"/>
          <w:lang w:val="en-US" w:eastAsia="zh-CN"/>
        </w:rPr>
        <w:t>23</w:t>
      </w:r>
      <w:r>
        <w:rPr>
          <w:rFonts w:hint="eastAsia"/>
          <w:b/>
          <w:sz w:val="21"/>
        </w:rPr>
        <w:t>日</w:t>
      </w:r>
    </w:p>
    <w:p>
      <w:pPr>
        <w:tabs>
          <w:tab w:val="left" w:pos="645"/>
        </w:tabs>
        <w:spacing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ind w:firstLine="527" w:firstLineChars="250"/>
        <w:rPr>
          <w:b/>
          <w:color w:val="000000" w:themeColor="text1"/>
          <w:sz w:val="21"/>
          <w:szCs w:val="21"/>
        </w:rPr>
      </w:pPr>
      <w:r>
        <w:rPr>
          <w:b/>
          <w:bCs/>
          <w:color w:val="000000" w:themeColor="text1"/>
          <w:sz w:val="21"/>
          <w:szCs w:val="21"/>
        </w:rPr>
        <w:t>1.</w:t>
      </w:r>
      <w:r>
        <w:rPr>
          <w:rFonts w:hint="eastAsia"/>
          <w:b/>
          <w:bCs/>
          <w:color w:val="000000" w:themeColor="text1"/>
          <w:sz w:val="21"/>
          <w:szCs w:val="21"/>
        </w:rPr>
        <w:t>审核中发现的</w:t>
      </w:r>
      <w:r>
        <w:rPr>
          <w:rFonts w:hint="eastAsia"/>
          <w:b/>
          <w:color w:val="000000" w:themeColor="text1"/>
          <w:sz w:val="21"/>
          <w:szCs w:val="21"/>
        </w:rPr>
        <w:t xml:space="preserve">☑  </w:t>
      </w:r>
      <w:r>
        <w:rPr>
          <w:b/>
          <w:color w:val="000000" w:themeColor="text1"/>
          <w:sz w:val="21"/>
          <w:szCs w:val="21"/>
        </w:rPr>
        <w:t>QM</w:t>
      </w:r>
      <w:r>
        <w:rPr>
          <w:rFonts w:hint="eastAsia"/>
          <w:b/>
          <w:color w:val="000000" w:themeColor="text1"/>
          <w:sz w:val="21"/>
          <w:szCs w:val="21"/>
        </w:rPr>
        <w:t>S (1)个一般不符合，(0)个严重不符合，☑  验证合格□仍有问题</w:t>
      </w:r>
    </w:p>
    <w:p>
      <w:pPr>
        <w:spacing w:line="360" w:lineRule="exact"/>
        <w:ind w:firstLine="843" w:firstLineChars="400"/>
        <w:rPr>
          <w:b/>
          <w:bCs/>
          <w:sz w:val="21"/>
          <w:szCs w:val="21"/>
        </w:rPr>
      </w:pPr>
      <w:r>
        <w:rPr>
          <w:rFonts w:hint="eastAsia"/>
          <w:b/>
          <w:bCs/>
          <w:sz w:val="21"/>
          <w:szCs w:val="21"/>
        </w:rPr>
        <w:t>审核中发现的□50430 (    )个一般不符合，(    )个严重不符合，□验证合格□仍有问题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EMS (</w:t>
      </w:r>
      <w:r>
        <w:rPr>
          <w:rFonts w:hint="eastAsia"/>
          <w:b/>
          <w:sz w:val="21"/>
          <w:szCs w:val="21"/>
        </w:rPr>
        <w:t xml:space="preserve">   </w:t>
      </w:r>
      <w:r>
        <w:rPr>
          <w:b/>
          <w:sz w:val="21"/>
          <w:szCs w:val="21"/>
        </w:rPr>
        <w:t>)</w:t>
      </w:r>
      <w:r>
        <w:rPr>
          <w:rFonts w:hint="eastAsia"/>
          <w:b/>
          <w:sz w:val="21"/>
          <w:szCs w:val="21"/>
        </w:rPr>
        <w:t>个一般不符合，</w:t>
      </w:r>
      <w:r>
        <w:rPr>
          <w:b/>
          <w:sz w:val="21"/>
          <w:szCs w:val="21"/>
        </w:rPr>
        <w:t>( )</w:t>
      </w:r>
      <w:r>
        <w:rPr>
          <w:rFonts w:hint="eastAsia"/>
          <w:b/>
          <w:sz w:val="21"/>
          <w:szCs w:val="21"/>
        </w:rPr>
        <w:t>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p>
    <w:p>
      <w:pPr>
        <w:spacing w:beforeLines="50" w:line="400" w:lineRule="exact"/>
        <w:rPr>
          <w:b/>
          <w:sz w:val="21"/>
          <w:szCs w:val="21"/>
          <w:u w:val="single"/>
        </w:rPr>
      </w:pPr>
      <w:r>
        <w:rPr>
          <w:rFonts w:hint="eastAsia"/>
          <w:b/>
          <w:sz w:val="21"/>
          <w:szCs w:val="21"/>
        </w:rPr>
        <w:t>存在问题说明及意见：</w:t>
      </w:r>
    </w:p>
    <w:p>
      <w:pPr>
        <w:spacing w:beforeLines="50"/>
        <w:ind w:firstLine="632" w:firstLineChars="300"/>
        <w:rPr>
          <w:b/>
          <w:sz w:val="21"/>
          <w:szCs w:val="21"/>
        </w:rPr>
      </w:pPr>
      <w:r>
        <w:rPr>
          <w:b/>
          <w:sz w:val="21"/>
          <w:szCs w:val="21"/>
        </w:rPr>
        <w:t>2.</w:t>
      </w:r>
      <w:r>
        <w:rPr>
          <w:rFonts w:hint="eastAsia"/>
          <w:b/>
          <w:sz w:val="21"/>
          <w:szCs w:val="21"/>
        </w:rPr>
        <w:t>验证结论：</w:t>
      </w:r>
      <w:r>
        <w:rPr>
          <w:rFonts w:hint="eastAsia"/>
          <w:b/>
          <w:spacing w:val="-10"/>
          <w:sz w:val="21"/>
          <w:szCs w:val="21"/>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pPr>
        <w:tabs>
          <w:tab w:val="left" w:pos="6880"/>
          <w:tab w:val="left" w:pos="7740"/>
          <w:tab w:val="left" w:pos="8385"/>
        </w:tabs>
        <w:snapToGrid w:val="0"/>
        <w:spacing w:beforeLines="50"/>
        <w:ind w:firstLine="1897" w:firstLineChars="900"/>
        <w:rPr>
          <w:b/>
          <w:sz w:val="21"/>
          <w:szCs w:val="21"/>
        </w:rPr>
      </w:pPr>
    </w:p>
    <w:p>
      <w:pPr>
        <w:tabs>
          <w:tab w:val="left" w:pos="6880"/>
          <w:tab w:val="left" w:pos="7740"/>
          <w:tab w:val="left" w:pos="8385"/>
        </w:tabs>
        <w:snapToGrid w:val="0"/>
        <w:spacing w:beforeLines="50"/>
        <w:ind w:firstLine="758" w:firstLineChars="343"/>
        <w:rPr>
          <w:b/>
          <w:sz w:val="21"/>
          <w:szCs w:val="21"/>
        </w:rPr>
      </w:pPr>
      <w:r>
        <w:rPr>
          <w:rFonts w:hint="eastAsia"/>
          <w:b/>
          <w:sz w:val="22"/>
          <w:szCs w:val="22"/>
        </w:rPr>
        <w:drawing>
          <wp:anchor distT="0" distB="0" distL="114300" distR="114300" simplePos="0" relativeHeight="251664384" behindDoc="0" locked="0" layoutInCell="1" allowOverlap="1">
            <wp:simplePos x="0" y="0"/>
            <wp:positionH relativeFrom="column">
              <wp:posOffset>1109345</wp:posOffset>
            </wp:positionH>
            <wp:positionV relativeFrom="paragraph">
              <wp:posOffset>14605</wp:posOffset>
            </wp:positionV>
            <wp:extent cx="422910" cy="320040"/>
            <wp:effectExtent l="0" t="0" r="3810" b="0"/>
            <wp:wrapNone/>
            <wp:docPr id="3" name="图片 3"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Administrator\Desktop\签名.jpg"/>
                    <pic:cNvPicPr>
                      <a:picLocks noChangeAspect="1" noChangeArrowheads="1"/>
                    </pic:cNvPicPr>
                  </pic:nvPicPr>
                  <pic:blipFill>
                    <a:blip r:embed="rId6" cstate="print"/>
                    <a:srcRect/>
                    <a:stretch>
                      <a:fillRect/>
                    </a:stretch>
                  </pic:blipFill>
                  <pic:spPr>
                    <a:xfrm>
                      <a:off x="0" y="0"/>
                      <a:ext cx="422910" cy="320040"/>
                    </a:xfrm>
                    <a:prstGeom prst="rect">
                      <a:avLst/>
                    </a:prstGeom>
                    <a:noFill/>
                    <a:ln w="9525">
                      <a:noFill/>
                      <a:miter lim="800000"/>
                      <a:headEnd/>
                      <a:tailEnd/>
                    </a:ln>
                  </pic:spPr>
                </pic:pic>
              </a:graphicData>
            </a:graphic>
          </wp:anchor>
        </w:drawing>
      </w:r>
      <w:r>
        <w:rPr>
          <w:rFonts w:hint="eastAsia"/>
          <w:b/>
          <w:sz w:val="21"/>
          <w:szCs w:val="21"/>
        </w:rPr>
        <w:t xml:space="preserve">组长签字：                            年   月   日 </w:t>
      </w:r>
    </w:p>
    <w:p>
      <w:pPr>
        <w:tabs>
          <w:tab w:val="left" w:pos="6880"/>
          <w:tab w:val="left" w:pos="7740"/>
          <w:tab w:val="left" w:pos="8385"/>
        </w:tabs>
        <w:snapToGrid w:val="0"/>
        <w:spacing w:beforeLines="50"/>
        <w:ind w:firstLine="723" w:firstLineChars="343"/>
        <w:rPr>
          <w:b/>
          <w:sz w:val="21"/>
          <w:szCs w:val="21"/>
        </w:rPr>
      </w:pPr>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rPr>
          <w:b/>
          <w:sz w:val="21"/>
          <w:u w:val="single"/>
        </w:rPr>
      </w:pPr>
    </w:p>
    <w:p>
      <w:pPr>
        <w:spacing w:line="360" w:lineRule="auto"/>
        <w:rPr>
          <w:b/>
          <w:sz w:val="26"/>
          <w:szCs w:val="26"/>
        </w:rPr>
      </w:pPr>
      <w:r>
        <w:rPr>
          <w:rFonts w:hint="eastAsia"/>
          <w:b/>
          <w:sz w:val="26"/>
          <w:szCs w:val="26"/>
        </w:rPr>
        <w:t>十五、认证评定与批准</w:t>
      </w:r>
    </w:p>
    <w:p>
      <w:pPr>
        <w:numPr>
          <w:ilvl w:val="0"/>
          <w:numId w:val="11"/>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pPr>
        <w:spacing w:line="360" w:lineRule="auto"/>
        <w:ind w:left="600"/>
        <w:rPr>
          <w:b/>
          <w:szCs w:val="24"/>
        </w:rPr>
      </w:pPr>
      <w:r>
        <w:rPr>
          <w:rFonts w:hint="eastAsia"/>
          <w:b/>
          <w:szCs w:val="24"/>
        </w:rPr>
        <w:t>认证评定负责人：            日期：     年   月    日</w:t>
      </w:r>
    </w:p>
    <w:p>
      <w:pPr>
        <w:numPr>
          <w:ilvl w:val="0"/>
          <w:numId w:val="11"/>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pPr>
        <w:spacing w:line="360" w:lineRule="auto"/>
        <w:ind w:left="600"/>
        <w:rPr>
          <w:b/>
          <w:szCs w:val="24"/>
        </w:rPr>
      </w:pPr>
      <w:r>
        <w:rPr>
          <w:rFonts w:hint="eastAsia"/>
          <w:b/>
          <w:szCs w:val="24"/>
        </w:rPr>
        <w:t>批准人（总经理）：           日期：      年  月   日</w:t>
      </w:r>
    </w:p>
    <w:p>
      <w:pPr>
        <w:snapToGrid w:val="0"/>
        <w:spacing w:beforeLines="50" w:afterLines="50" w:line="360" w:lineRule="exact"/>
        <w:rPr>
          <w:b/>
          <w:sz w:val="26"/>
          <w:szCs w:val="26"/>
        </w:rPr>
      </w:pPr>
      <w:r>
        <w:rPr>
          <w:rFonts w:hint="eastAsia"/>
          <w:b/>
          <w:sz w:val="26"/>
          <w:szCs w:val="26"/>
        </w:rPr>
        <w:t>十六、审核报告的发放范围：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Lines="50" w:afterLines="50" w:line="360" w:lineRule="exact"/>
        <w:rPr>
          <w:rFonts w:ascii="宋体"/>
          <w:b/>
          <w:sz w:val="16"/>
          <w:szCs w:val="16"/>
        </w:rPr>
      </w:pPr>
      <w:r>
        <w:rPr>
          <w:rFonts w:hint="eastAsia"/>
          <w:b/>
          <w:sz w:val="26"/>
          <w:szCs w:val="26"/>
        </w:rPr>
        <w:t>十七、</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Lines="50" w:afterLines="50" w:line="360" w:lineRule="exact"/>
        <w:rPr>
          <w:rFonts w:ascii="宋体"/>
          <w:b/>
          <w:sz w:val="26"/>
          <w:szCs w:val="26"/>
        </w:rPr>
      </w:pPr>
      <w:r>
        <w:rPr>
          <w:rFonts w:hint="eastAsia" w:ascii="宋体" w:hAnsi="宋体"/>
          <w:b/>
          <w:sz w:val="26"/>
          <w:szCs w:val="26"/>
        </w:rPr>
        <w:t>十八、填表说明：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方正仿宋简体" w:eastAsia="方正仿宋简体"/>
          <w:b/>
        </w:rPr>
        <w:t>十九、</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仿宋简体">
    <w:altName w:val="黑体"/>
    <w:panose1 w:val="00000000000000000000"/>
    <w:charset w:val="86"/>
    <w:family w:val="modern"/>
    <w:pitch w:val="default"/>
    <w:sig w:usb0="00000000" w:usb1="00000000" w:usb2="00000010" w:usb3="00000000" w:csb0="00040000" w:csb1="00000000"/>
  </w:font>
  <w:font w:name="Lucida Sans">
    <w:altName w:val="Lucida Sans Unicode"/>
    <w:panose1 w:val="00000000000000000000"/>
    <w:charset w:val="00"/>
    <w:family w:val="swiss"/>
    <w:pitch w:val="default"/>
    <w:sig w:usb0="00000000" w:usb1="00000000" w:usb2="00000000" w:usb3="00000000" w:csb0="00000001" w:csb1="00000000"/>
  </w:font>
  <w:font w:name="Lucida Sans Unicode">
    <w:panose1 w:val="020B0602030504020204"/>
    <w:charset w:val="00"/>
    <w:family w:val="auto"/>
    <w:pitch w:val="default"/>
    <w:sig w:usb0="80001AFF" w:usb1="0000396B" w:usb2="00000000" w:usb3="00000000" w:csb0="200000BF" w:csb1="D7F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98" w:leftChars="-41" w:firstLine="810" w:firstLineChars="450"/>
      <w:jc w:val="left"/>
      <w:rPr>
        <w:rStyle w:val="16"/>
        <w:rFonts w:hint="default"/>
      </w:rPr>
    </w:pPr>
    <w:r>
      <w:pict>
        <v:shape id="_x0000_s2049"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6"/>
        <w:rFonts w:hint="default"/>
      </w:rPr>
      <w:t>北京国标联合认证有限公司</w:t>
    </w:r>
    <w:r>
      <w:rPr>
        <w:rStyle w:val="16"/>
        <w:rFonts w:hint="default"/>
      </w:rPr>
      <w:tab/>
    </w:r>
    <w:r>
      <w:rPr>
        <w:rStyle w:val="16"/>
        <w:rFonts w:hint="default"/>
      </w:rPr>
      <w:tab/>
    </w:r>
    <w:r>
      <w:rPr>
        <w:rStyle w:val="16"/>
        <w:rFonts w:hint="default"/>
      </w:rPr>
      <w:tab/>
    </w:r>
  </w:p>
  <w:p>
    <w:r>
      <w:pict>
        <v:shape id="文本框 1" o:spid="_x0000_s2050" o:spt="202" type="#_x0000_t202" style="position:absolute;left:0pt;margin-left:554.75pt;margin-top:2.2pt;height:20.2pt;width:172pt;z-index:251660288;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6"/>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E2566B"/>
    <w:multiLevelType w:val="singleLevel"/>
    <w:tmpl w:val="87E2566B"/>
    <w:lvl w:ilvl="0" w:tentative="0">
      <w:start w:val="7"/>
      <w:numFmt w:val="decimal"/>
      <w:suff w:val="space"/>
      <w:lvlText w:val="%1."/>
      <w:lvlJc w:val="left"/>
    </w:lvl>
  </w:abstractNum>
  <w:abstractNum w:abstractNumId="1">
    <w:nsid w:val="B067E2E0"/>
    <w:multiLevelType w:val="singleLevel"/>
    <w:tmpl w:val="B067E2E0"/>
    <w:lvl w:ilvl="0" w:tentative="0">
      <w:start w:val="6"/>
      <w:numFmt w:val="decimal"/>
      <w:suff w:val="space"/>
      <w:lvlText w:val="%1."/>
      <w:lvlJc w:val="left"/>
    </w:lvl>
  </w:abstractNum>
  <w:abstractNum w:abstractNumId="2">
    <w:nsid w:val="D8E44AD5"/>
    <w:multiLevelType w:val="singleLevel"/>
    <w:tmpl w:val="D8E44AD5"/>
    <w:lvl w:ilvl="0" w:tentative="0">
      <w:start w:val="3"/>
      <w:numFmt w:val="decimal"/>
      <w:lvlText w:val="%1."/>
      <w:lvlJc w:val="left"/>
      <w:pPr>
        <w:tabs>
          <w:tab w:val="left" w:pos="312"/>
        </w:tabs>
      </w:pPr>
    </w:lvl>
  </w:abstractNum>
  <w:abstractNum w:abstractNumId="3">
    <w:nsid w:val="FEB4ABD9"/>
    <w:multiLevelType w:val="singleLevel"/>
    <w:tmpl w:val="FEB4ABD9"/>
    <w:lvl w:ilvl="0" w:tentative="0">
      <w:start w:val="4"/>
      <w:numFmt w:val="chineseCounting"/>
      <w:suff w:val="nothing"/>
      <w:lvlText w:val="%1、"/>
      <w:lvlJc w:val="left"/>
      <w:rPr>
        <w:rFonts w:hint="eastAsia"/>
      </w:rPr>
    </w:lvl>
  </w:abstractNum>
  <w:abstractNum w:abstractNumId="4">
    <w:nsid w:val="00000001"/>
    <w:multiLevelType w:val="multilevel"/>
    <w:tmpl w:val="00000001"/>
    <w:lvl w:ilvl="0" w:tentative="0">
      <w:start w:val="1"/>
      <w:numFmt w:val="decimal"/>
      <w:lvlText w:val="%1．"/>
      <w:lvlJc w:val="left"/>
      <w:pPr>
        <w:tabs>
          <w:tab w:val="left" w:pos="960"/>
        </w:tabs>
        <w:ind w:left="960" w:hanging="360"/>
      </w:pPr>
      <w:rPr>
        <w:rFonts w:hint="default" w:cs="Times New Roman"/>
      </w:rPr>
    </w:lvl>
    <w:lvl w:ilvl="1" w:tentative="0">
      <w:start w:val="1"/>
      <w:numFmt w:val="lowerLetter"/>
      <w:lvlText w:val="%2)"/>
      <w:lvlJc w:val="left"/>
      <w:pPr>
        <w:tabs>
          <w:tab w:val="left" w:pos="1440"/>
        </w:tabs>
        <w:ind w:left="1440" w:hanging="420"/>
      </w:pPr>
      <w:rPr>
        <w:rFonts w:cs="Times New Roman"/>
      </w:rPr>
    </w:lvl>
    <w:lvl w:ilvl="2" w:tentative="0">
      <w:start w:val="1"/>
      <w:numFmt w:val="lowerRoman"/>
      <w:lvlText w:val="%3."/>
      <w:lvlJc w:val="right"/>
      <w:pPr>
        <w:tabs>
          <w:tab w:val="left" w:pos="1860"/>
        </w:tabs>
        <w:ind w:left="1860" w:hanging="420"/>
      </w:pPr>
      <w:rPr>
        <w:rFonts w:cs="Times New Roman"/>
      </w:rPr>
    </w:lvl>
    <w:lvl w:ilvl="3" w:tentative="0">
      <w:start w:val="1"/>
      <w:numFmt w:val="decimal"/>
      <w:lvlText w:val="%4."/>
      <w:lvlJc w:val="left"/>
      <w:pPr>
        <w:tabs>
          <w:tab w:val="left" w:pos="2280"/>
        </w:tabs>
        <w:ind w:left="2280" w:hanging="420"/>
      </w:pPr>
      <w:rPr>
        <w:rFonts w:cs="Times New Roman"/>
      </w:rPr>
    </w:lvl>
    <w:lvl w:ilvl="4" w:tentative="0">
      <w:start w:val="1"/>
      <w:numFmt w:val="lowerLetter"/>
      <w:lvlText w:val="%5)"/>
      <w:lvlJc w:val="left"/>
      <w:pPr>
        <w:tabs>
          <w:tab w:val="left" w:pos="2700"/>
        </w:tabs>
        <w:ind w:left="2700" w:hanging="420"/>
      </w:pPr>
      <w:rPr>
        <w:rFonts w:cs="Times New Roman"/>
      </w:rPr>
    </w:lvl>
    <w:lvl w:ilvl="5" w:tentative="0">
      <w:start w:val="1"/>
      <w:numFmt w:val="lowerRoman"/>
      <w:lvlText w:val="%6."/>
      <w:lvlJc w:val="right"/>
      <w:pPr>
        <w:tabs>
          <w:tab w:val="left" w:pos="3120"/>
        </w:tabs>
        <w:ind w:left="3120" w:hanging="420"/>
      </w:pPr>
      <w:rPr>
        <w:rFonts w:cs="Times New Roman"/>
      </w:rPr>
    </w:lvl>
    <w:lvl w:ilvl="6" w:tentative="0">
      <w:start w:val="1"/>
      <w:numFmt w:val="decimal"/>
      <w:lvlText w:val="%7."/>
      <w:lvlJc w:val="left"/>
      <w:pPr>
        <w:tabs>
          <w:tab w:val="left" w:pos="3540"/>
        </w:tabs>
        <w:ind w:left="3540" w:hanging="420"/>
      </w:pPr>
      <w:rPr>
        <w:rFonts w:cs="Times New Roman"/>
      </w:rPr>
    </w:lvl>
    <w:lvl w:ilvl="7" w:tentative="0">
      <w:start w:val="1"/>
      <w:numFmt w:val="lowerLetter"/>
      <w:lvlText w:val="%8)"/>
      <w:lvlJc w:val="left"/>
      <w:pPr>
        <w:tabs>
          <w:tab w:val="left" w:pos="3960"/>
        </w:tabs>
        <w:ind w:left="3960" w:hanging="420"/>
      </w:pPr>
      <w:rPr>
        <w:rFonts w:cs="Times New Roman"/>
      </w:rPr>
    </w:lvl>
    <w:lvl w:ilvl="8" w:tentative="0">
      <w:start w:val="1"/>
      <w:numFmt w:val="lowerRoman"/>
      <w:lvlText w:val="%9."/>
      <w:lvlJc w:val="right"/>
      <w:pPr>
        <w:tabs>
          <w:tab w:val="left" w:pos="4380"/>
        </w:tabs>
        <w:ind w:left="4380" w:hanging="420"/>
      </w:pPr>
      <w:rPr>
        <w:rFonts w:cs="Times New Roman"/>
      </w:rPr>
    </w:lvl>
  </w:abstractNum>
  <w:abstractNum w:abstractNumId="5">
    <w:nsid w:val="092805CD"/>
    <w:multiLevelType w:val="singleLevel"/>
    <w:tmpl w:val="092805CD"/>
    <w:lvl w:ilvl="0" w:tentative="0">
      <w:start w:val="2"/>
      <w:numFmt w:val="decimal"/>
      <w:lvlText w:val="%1."/>
      <w:lvlJc w:val="left"/>
      <w:pPr>
        <w:tabs>
          <w:tab w:val="left" w:pos="312"/>
        </w:tabs>
      </w:pPr>
    </w:lvl>
  </w:abstractNum>
  <w:abstractNum w:abstractNumId="6">
    <w:nsid w:val="1DDE20DE"/>
    <w:multiLevelType w:val="singleLevel"/>
    <w:tmpl w:val="1DDE20DE"/>
    <w:lvl w:ilvl="0" w:tentative="0">
      <w:start w:val="8"/>
      <w:numFmt w:val="decimal"/>
      <w:suff w:val="space"/>
      <w:lvlText w:val="%1."/>
      <w:lvlJc w:val="left"/>
    </w:lvl>
  </w:abstractNum>
  <w:abstractNum w:abstractNumId="7">
    <w:nsid w:val="1EEBFF49"/>
    <w:multiLevelType w:val="singleLevel"/>
    <w:tmpl w:val="1EEBFF49"/>
    <w:lvl w:ilvl="0" w:tentative="0">
      <w:start w:val="2"/>
      <w:numFmt w:val="decimal"/>
      <w:lvlText w:val="%1."/>
      <w:lvlJc w:val="left"/>
      <w:pPr>
        <w:tabs>
          <w:tab w:val="left" w:pos="312"/>
        </w:tabs>
      </w:pPr>
    </w:lvl>
  </w:abstractNum>
  <w:abstractNum w:abstractNumId="8">
    <w:nsid w:val="45014024"/>
    <w:multiLevelType w:val="singleLevel"/>
    <w:tmpl w:val="45014024"/>
    <w:lvl w:ilvl="0" w:tentative="0">
      <w:start w:val="8"/>
      <w:numFmt w:val="decimal"/>
      <w:lvlText w:val="%1."/>
      <w:lvlJc w:val="left"/>
      <w:pPr>
        <w:tabs>
          <w:tab w:val="left" w:pos="312"/>
        </w:tabs>
      </w:pPr>
    </w:lvl>
  </w:abstractNum>
  <w:abstractNum w:abstractNumId="9">
    <w:nsid w:val="6079405B"/>
    <w:multiLevelType w:val="singleLevel"/>
    <w:tmpl w:val="6079405B"/>
    <w:lvl w:ilvl="0" w:tentative="0">
      <w:start w:val="11"/>
      <w:numFmt w:val="chineseCounting"/>
      <w:suff w:val="nothing"/>
      <w:lvlText w:val="%1、"/>
      <w:lvlJc w:val="left"/>
      <w:rPr>
        <w:rFonts w:hint="eastAsia"/>
      </w:rPr>
    </w:lvl>
  </w:abstractNum>
  <w:abstractNum w:abstractNumId="10">
    <w:nsid w:val="688C3EB5"/>
    <w:multiLevelType w:val="singleLevel"/>
    <w:tmpl w:val="688C3EB5"/>
    <w:lvl w:ilvl="0" w:tentative="0">
      <w:start w:val="2"/>
      <w:numFmt w:val="decimal"/>
      <w:suff w:val="nothing"/>
      <w:lvlText w:val="%1、"/>
      <w:lvlJc w:val="left"/>
    </w:lvl>
  </w:abstractNum>
  <w:num w:numId="1">
    <w:abstractNumId w:val="3"/>
  </w:num>
  <w:num w:numId="2">
    <w:abstractNumId w:val="10"/>
  </w:num>
  <w:num w:numId="3">
    <w:abstractNumId w:val="2"/>
  </w:num>
  <w:num w:numId="4">
    <w:abstractNumId w:val="6"/>
  </w:num>
  <w:num w:numId="5">
    <w:abstractNumId w:val="7"/>
  </w:num>
  <w:num w:numId="6">
    <w:abstractNumId w:val="1"/>
  </w:num>
  <w:num w:numId="7">
    <w:abstractNumId w:val="0"/>
  </w:num>
  <w:num w:numId="8">
    <w:abstractNumId w:val="8"/>
  </w:num>
  <w:num w:numId="9">
    <w:abstractNumId w:val="5"/>
  </w:num>
  <w:num w:numId="10">
    <w:abstractNumId w:val="9"/>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5304C"/>
    <w:rsid w:val="0005304C"/>
    <w:rsid w:val="00520992"/>
    <w:rsid w:val="00A447A1"/>
    <w:rsid w:val="00CA1793"/>
    <w:rsid w:val="00DF7BB7"/>
    <w:rsid w:val="00E82742"/>
    <w:rsid w:val="015E2D01"/>
    <w:rsid w:val="03560A05"/>
    <w:rsid w:val="057404BA"/>
    <w:rsid w:val="069E28A0"/>
    <w:rsid w:val="0724147A"/>
    <w:rsid w:val="075B24B9"/>
    <w:rsid w:val="0810189E"/>
    <w:rsid w:val="08DB7E61"/>
    <w:rsid w:val="0BC00547"/>
    <w:rsid w:val="0BC042EC"/>
    <w:rsid w:val="0D5461B6"/>
    <w:rsid w:val="0DF53453"/>
    <w:rsid w:val="0F402042"/>
    <w:rsid w:val="1263390E"/>
    <w:rsid w:val="17FB68AA"/>
    <w:rsid w:val="180C639A"/>
    <w:rsid w:val="1D013BB0"/>
    <w:rsid w:val="1D517685"/>
    <w:rsid w:val="1ED315F2"/>
    <w:rsid w:val="1F233878"/>
    <w:rsid w:val="24282D23"/>
    <w:rsid w:val="264D71CE"/>
    <w:rsid w:val="27FF0507"/>
    <w:rsid w:val="2D0471C3"/>
    <w:rsid w:val="2D1334E8"/>
    <w:rsid w:val="2D180AAA"/>
    <w:rsid w:val="2E3F4286"/>
    <w:rsid w:val="2F91342F"/>
    <w:rsid w:val="2FC13290"/>
    <w:rsid w:val="344223F7"/>
    <w:rsid w:val="36B434E6"/>
    <w:rsid w:val="371D1538"/>
    <w:rsid w:val="37EA3A00"/>
    <w:rsid w:val="3A141D11"/>
    <w:rsid w:val="3DB513EF"/>
    <w:rsid w:val="3EB6752F"/>
    <w:rsid w:val="3FED2684"/>
    <w:rsid w:val="41203F88"/>
    <w:rsid w:val="429820EC"/>
    <w:rsid w:val="45891498"/>
    <w:rsid w:val="45F53D80"/>
    <w:rsid w:val="471C2C44"/>
    <w:rsid w:val="480C4A92"/>
    <w:rsid w:val="48CA1CE6"/>
    <w:rsid w:val="49923A0A"/>
    <w:rsid w:val="4B191BE9"/>
    <w:rsid w:val="4B220ED1"/>
    <w:rsid w:val="4CC443A4"/>
    <w:rsid w:val="4E094C99"/>
    <w:rsid w:val="52530484"/>
    <w:rsid w:val="52832D42"/>
    <w:rsid w:val="53C651CA"/>
    <w:rsid w:val="58C21D1B"/>
    <w:rsid w:val="5ED76C7C"/>
    <w:rsid w:val="610C5530"/>
    <w:rsid w:val="61B12954"/>
    <w:rsid w:val="65AA6E79"/>
    <w:rsid w:val="67273BC0"/>
    <w:rsid w:val="6FB3580C"/>
    <w:rsid w:val="717D0106"/>
    <w:rsid w:val="72755D49"/>
    <w:rsid w:val="75A77E6E"/>
    <w:rsid w:val="75C76F81"/>
    <w:rsid w:val="7BD80443"/>
    <w:rsid w:val="7F9754D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ocked="1"/>
    <w:lsdException w:qFormat="1" w:unhideWhenUsed="0" w:uiPriority="2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1"/>
    <w:semiHidden/>
    <w:qFormat/>
    <w:uiPriority w:val="99"/>
    <w:rPr>
      <w:sz w:val="18"/>
      <w:szCs w:val="18"/>
    </w:rPr>
  </w:style>
  <w:style w:type="paragraph" w:styleId="4">
    <w:name w:val="footer"/>
    <w:basedOn w:val="1"/>
    <w:link w:val="12"/>
    <w:semiHidden/>
    <w:qFormat/>
    <w:uiPriority w:val="99"/>
    <w:pPr>
      <w:tabs>
        <w:tab w:val="center" w:pos="4153"/>
        <w:tab w:val="right" w:pos="8306"/>
      </w:tabs>
      <w:snapToGrid w:val="0"/>
      <w:jc w:val="left"/>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table" w:styleId="7">
    <w:name w:val="Table Grid"/>
    <w:basedOn w:val="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Emphasis"/>
    <w:basedOn w:val="8"/>
    <w:qFormat/>
    <w:locked/>
    <w:uiPriority w:val="20"/>
    <w:rPr>
      <w:i/>
      <w:iCs/>
    </w:rPr>
  </w:style>
  <w:style w:type="character" w:styleId="10">
    <w:name w:val="Hyperlink"/>
    <w:basedOn w:val="8"/>
    <w:semiHidden/>
    <w:unhideWhenUsed/>
    <w:qFormat/>
    <w:uiPriority w:val="99"/>
    <w:rPr>
      <w:color w:val="0000FF"/>
      <w:u w:val="single"/>
    </w:rPr>
  </w:style>
  <w:style w:type="character" w:customStyle="1" w:styleId="11">
    <w:name w:val="批注框文本 Char"/>
    <w:link w:val="3"/>
    <w:semiHidden/>
    <w:qFormat/>
    <w:locked/>
    <w:uiPriority w:val="99"/>
    <w:rPr>
      <w:rFonts w:ascii="Times New Roman" w:hAnsi="Times New Roman" w:eastAsia="宋体" w:cs="Times New Roman"/>
      <w:sz w:val="18"/>
      <w:szCs w:val="18"/>
    </w:rPr>
  </w:style>
  <w:style w:type="character" w:customStyle="1" w:styleId="12">
    <w:name w:val="页脚 Char"/>
    <w:link w:val="4"/>
    <w:semiHidden/>
    <w:qFormat/>
    <w:locked/>
    <w:uiPriority w:val="99"/>
    <w:rPr>
      <w:rFonts w:ascii="Times New Roman" w:hAnsi="Times New Roman" w:eastAsia="宋体" w:cs="Times New Roman"/>
      <w:sz w:val="18"/>
      <w:szCs w:val="18"/>
    </w:rPr>
  </w:style>
  <w:style w:type="character" w:customStyle="1" w:styleId="13">
    <w:name w:val="页眉 Char"/>
    <w:link w:val="5"/>
    <w:qFormat/>
    <w:locked/>
    <w:uiPriority w:val="0"/>
    <w:rPr>
      <w:sz w:val="18"/>
    </w:rPr>
  </w:style>
  <w:style w:type="character" w:customStyle="1" w:styleId="14">
    <w:name w:val="页眉 Char1"/>
    <w:semiHidden/>
    <w:qFormat/>
    <w:uiPriority w:val="99"/>
    <w:rPr>
      <w:rFonts w:ascii="Times New Roman" w:hAnsi="Times New Roman" w:eastAsia="宋体" w:cs="Times New Roman"/>
      <w:sz w:val="18"/>
      <w:szCs w:val="18"/>
    </w:rPr>
  </w:style>
  <w:style w:type="paragraph" w:styleId="15">
    <w:name w:val="List Paragraph"/>
    <w:basedOn w:val="1"/>
    <w:qFormat/>
    <w:uiPriority w:val="99"/>
    <w:pPr>
      <w:ind w:firstLine="420" w:firstLineChars="200"/>
    </w:pPr>
    <w:rPr>
      <w:sz w:val="21"/>
      <w:szCs w:val="24"/>
    </w:rPr>
  </w:style>
  <w:style w:type="character" w:customStyle="1" w:styleId="16">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30"/>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1188</Words>
  <Characters>6773</Characters>
  <Lines>56</Lines>
  <Paragraphs>15</Paragraphs>
  <TotalTime>2</TotalTime>
  <ScaleCrop>false</ScaleCrop>
  <LinksUpToDate>false</LinksUpToDate>
  <CharactersWithSpaces>7946</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zx</cp:lastModifiedBy>
  <cp:lastPrinted>2019-04-18T08:15:00Z</cp:lastPrinted>
  <dcterms:modified xsi:type="dcterms:W3CDTF">2021-06-23T07:16:57Z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0C7FF6074C0048359674FB747109C84F</vt:lpwstr>
  </property>
</Properties>
</file>