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98"/>
        <w:gridCol w:w="1455"/>
        <w:gridCol w:w="6"/>
        <w:gridCol w:w="567"/>
        <w:gridCol w:w="1082"/>
        <w:gridCol w:w="160"/>
        <w:gridCol w:w="75"/>
        <w:gridCol w:w="690"/>
        <w:gridCol w:w="261"/>
        <w:gridCol w:w="334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四川良翔健康管理服务有限公司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四川省金堂县赵镇米家巷213号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4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1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文仁发</w:t>
            </w:r>
          </w:p>
        </w:tc>
        <w:tc>
          <w:tcPr>
            <w:tcW w:w="14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0563-2021-QO</w:t>
            </w:r>
            <w:bookmarkEnd w:id="8"/>
          </w:p>
        </w:tc>
        <w:tc>
          <w:tcPr>
            <w:tcW w:w="14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Q：病人陪护服务（不含诊疗）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O：病人陪护服务（不含诊疗）所涉及场所的相关职业健康安全管理活动</w:t>
            </w:r>
            <w:bookmarkEnd w:id="13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Q：38.04.00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O：38.04.00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2021年06月23日 上午至2021年06月23日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焦渝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ind w:firstLine="200" w:firstLineChars="100"/>
              <w:jc w:val="both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Q:38.04.00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O:38.04.00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15708205185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1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8890</wp:posOffset>
                  </wp:positionV>
                  <wp:extent cx="323850" cy="335280"/>
                  <wp:effectExtent l="0" t="0" r="6350" b="762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35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35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2021.6.20</w:t>
            </w:r>
          </w:p>
        </w:tc>
        <w:tc>
          <w:tcPr>
            <w:tcW w:w="108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35" w:type="dxa"/>
            <w:gridSpan w:val="6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：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焦渝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证书使用情况、上一年审核不符合验证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 8.2产品和服务的要求；8.4外部提供供方的控制；9.1.2顾客满意；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焦渝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/权限；6.2质量目标及其实现的策划；7.1.3基础设施；7.1.4过程运行环境；7.1.5监视和测量设备；8.1运行策划和控制；8.3设计开发控制；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焦渝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焦渝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焦渝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宋明珠、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</w:rPr>
              <w:t>焦渝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6570B"/>
    <w:rsid w:val="38721E3A"/>
    <w:rsid w:val="40DB04C7"/>
    <w:rsid w:val="55E86535"/>
    <w:rsid w:val="7CD821D0"/>
    <w:rsid w:val="7F090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24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2021-06-23T07:33:41Z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31147D4FB7C74AA2B4B3AB32F1F2FCD1</vt:lpwstr>
  </property>
</Properties>
</file>