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编  号：</w:t>
      </w:r>
      <w:bookmarkStart w:id="0" w:name="合同编号"/>
      <w:r>
        <w:rPr>
          <w:rFonts w:hint="eastAsia" w:ascii="宋体" w:hAnsi="宋体" w:eastAsia="宋体" w:cs="宋体"/>
          <w:b/>
          <w:bCs/>
          <w:color w:val="000000"/>
          <w:kern w:val="0"/>
          <w:sz w:val="24"/>
          <w:szCs w:val="24"/>
        </w:rPr>
        <w:t>063</w:t>
      </w:r>
      <w:r>
        <w:rPr>
          <w:rFonts w:hint="eastAsia" w:ascii="宋体" w:hAnsi="宋体" w:eastAsia="宋体" w:cs="宋体"/>
          <w:b/>
          <w:bCs/>
          <w:color w:val="000000"/>
          <w:kern w:val="0"/>
          <w:sz w:val="24"/>
          <w:szCs w:val="24"/>
          <w:lang w:val="en-US" w:eastAsia="zh-CN"/>
        </w:rPr>
        <w:t>4</w:t>
      </w:r>
      <w:r>
        <w:rPr>
          <w:rFonts w:hint="eastAsia" w:ascii="宋体" w:hAnsi="宋体" w:eastAsia="宋体" w:cs="宋体"/>
          <w:b/>
          <w:bCs/>
          <w:color w:val="000000"/>
          <w:kern w:val="0"/>
          <w:sz w:val="24"/>
          <w:szCs w:val="24"/>
        </w:rPr>
        <w:t>-2021-EO</w:t>
      </w:r>
      <w:bookmarkEnd w:id="0"/>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1" w:name="组织名称"/>
      <w:r>
        <w:rPr>
          <w:rFonts w:ascii="楷体" w:hAnsi="楷体" w:eastAsia="楷体"/>
          <w:b/>
          <w:color w:val="000000" w:themeColor="text1"/>
          <w:sz w:val="32"/>
          <w:szCs w:val="32"/>
          <w:u w:val="single"/>
        </w:rPr>
        <w:t>重庆华晟实业有限公司</w:t>
      </w:r>
      <w:bookmarkEnd w:id="1"/>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2" w:name="Q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3" w:name="E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4" w:name="S勾选"/>
      <w:r>
        <w:rPr>
          <w:rFonts w:hint="eastAsia" w:ascii="楷体" w:hAnsi="楷体" w:eastAsia="楷体"/>
          <w:b/>
          <w:color w:val="000000" w:themeColor="text1"/>
          <w:sz w:val="32"/>
          <w:szCs w:val="32"/>
        </w:rPr>
        <w:t>■</w:t>
      </w:r>
      <w:bookmarkEnd w:id="4"/>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0"/>
          <w:rFonts w:hint="eastAsia" w:ascii="楷体" w:hAnsi="楷体" w:eastAsia="楷体"/>
          <w:b/>
          <w:sz w:val="36"/>
          <w:szCs w:val="36"/>
        </w:rPr>
        <w:t>www.china-isc.org.cn</w:t>
      </w:r>
      <w:r>
        <w:fldChar w:fldCharType="end"/>
      </w: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7"/>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杨珍全</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E:29.12.00,34.05.00</w:t>
            </w:r>
          </w:p>
          <w:p>
            <w:pPr>
              <w:spacing w:line="240" w:lineRule="exact"/>
              <w:jc w:val="center"/>
              <w:rPr>
                <w:b/>
                <w:color w:val="000000" w:themeColor="text1"/>
                <w:sz w:val="20"/>
                <w:szCs w:val="20"/>
              </w:rPr>
            </w:pPr>
            <w:r>
              <w:rPr>
                <w:b/>
                <w:color w:val="000000" w:themeColor="text1"/>
                <w:sz w:val="20"/>
                <w:szCs w:val="20"/>
              </w:rPr>
              <w:t>O:29.12.00,34.05.00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冉景洲</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 xml:space="preserve">OHSMS </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2"/>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5" w:name="审核依据"/>
      <w:r>
        <w:rPr>
          <w:rFonts w:hint="eastAsia" w:ascii="宋体" w:hAnsi="宋体"/>
          <w:b/>
          <w:color w:val="000000" w:themeColor="text1"/>
          <w:spacing w:val="-10"/>
          <w:sz w:val="20"/>
          <w:szCs w:val="20"/>
        </w:rPr>
        <w:t>E：GB/T 24001-2016/ISO14001:2015,O：GB/T45001-2020 / ISO45001：2018</w:t>
      </w:r>
      <w:bookmarkEnd w:id="5"/>
      <w:r>
        <w:rPr>
          <w:rFonts w:hint="eastAsia" w:ascii="宋体" w:hAnsi="宋体"/>
          <w:b/>
          <w:color w:val="000000" w:themeColor="text1"/>
          <w:sz w:val="26"/>
          <w:szCs w:val="26"/>
        </w:rPr>
        <w:t>四、受审核方基本信息</w:t>
      </w:r>
    </w:p>
    <w:tbl>
      <w:tblPr>
        <w:tblStyle w:val="7"/>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重庆华晟实业有限公司</w:t>
            </w:r>
            <w:bookmarkEnd w:id="6"/>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重庆市沙坪坝区西永大道28-2号SOHO楼601-C460</w:t>
            </w:r>
            <w:bookmarkEnd w:id="8"/>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400000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重庆市九龙坡区火炬大道101号城市日记11-4</w:t>
            </w:r>
            <w:bookmarkEnd w:id="10"/>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400000</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张宁</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13883759728</w:t>
            </w:r>
            <w:bookmarkEnd w:id="13"/>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4" w:name="联系人传真"/>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陈维</w:t>
            </w:r>
            <w:bookmarkEnd w:id="15"/>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陈维</w:t>
            </w:r>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张宁</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E：仪器仪表、机电产品、电子产品及元器件的销售，机械设备的设计所涉及场所的相关环境管理活动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O：仪器仪表、机电产品、电子产品及元器件的销售，机械设备的设计所涉及场所的相关职业健康安全管理活动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E：29.12.00;34.05.00</w:t>
            </w:r>
          </w:p>
          <w:p>
            <w:pPr>
              <w:spacing w:line="320" w:lineRule="exact"/>
              <w:rPr>
                <w:rFonts w:ascii="宋体" w:hAnsi="宋体"/>
                <w:b/>
                <w:color w:val="000000" w:themeColor="text1"/>
                <w:sz w:val="20"/>
                <w:szCs w:val="20"/>
              </w:rPr>
            </w:pPr>
            <w:r>
              <w:rPr>
                <w:rFonts w:ascii="宋体" w:hAnsi="宋体"/>
                <w:b/>
                <w:color w:val="000000" w:themeColor="text1"/>
                <w:sz w:val="20"/>
                <w:szCs w:val="20"/>
              </w:rPr>
              <w:t>O：29.12.00;34.05.00</w:t>
            </w:r>
            <w:bookmarkEnd w:id="19"/>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cs="宋体" w:hAnsiTheme="minorHAnsi"/>
                <w:color w:val="000000" w:themeColor="text1"/>
                <w:kern w:val="0"/>
                <w:sz w:val="20"/>
                <w:szCs w:val="20"/>
              </w:rPr>
              <w:t>■</w:t>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2021-01-01 0:00:00</w:t>
            </w:r>
            <w:bookmarkEnd w:id="20"/>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行政部（含财务）</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方针、目标管理；文件、记录控制程；管理评审；内审管理；人员、部门职能职责和权限；风险识别评价管理；环境因素识别评价管理；纠正和预防措施控制；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eastAsia" w:ascii="宋体" w:hAnsi="宋体" w:eastAsia="宋体"/>
                <w:b/>
                <w:color w:val="000000" w:themeColor="text1"/>
                <w:sz w:val="20"/>
                <w:szCs w:val="20"/>
                <w:lang w:eastAsia="zh-CN"/>
              </w:rPr>
            </w:pPr>
            <w:r>
              <w:rPr>
                <w:rFonts w:hint="eastAsia" w:ascii="宋体" w:hAnsi="宋体"/>
                <w:b/>
                <w:color w:val="000000" w:themeColor="text1"/>
                <w:sz w:val="20"/>
                <w:szCs w:val="20"/>
                <w:lang w:eastAsia="zh-CN"/>
              </w:rPr>
              <w:t>供销部</w:t>
            </w:r>
          </w:p>
        </w:tc>
        <w:tc>
          <w:tcPr>
            <w:tcW w:w="6804" w:type="dxa"/>
          </w:tcPr>
          <w:p>
            <w:pPr>
              <w:jc w:val="left"/>
              <w:rPr>
                <w:rFonts w:ascii="宋体" w:hAnsi="宋体"/>
                <w:b/>
                <w:color w:val="000000" w:themeColor="text1"/>
                <w:spacing w:val="-20"/>
                <w:sz w:val="20"/>
                <w:szCs w:val="20"/>
                <w:u w:val="single"/>
              </w:rPr>
            </w:pPr>
            <w:r>
              <w:rPr>
                <w:rFonts w:hint="eastAsia" w:ascii="宋体" w:hAnsi="宋体"/>
                <w:b/>
                <w:color w:val="000000" w:themeColor="text1"/>
                <w:sz w:val="20"/>
                <w:szCs w:val="20"/>
              </w:rPr>
              <w:t>不合格品控制；合同管理；外部供方管理；产品验收管理；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技术部</w:t>
            </w:r>
          </w:p>
        </w:tc>
        <w:tc>
          <w:tcPr>
            <w:tcW w:w="6804" w:type="dxa"/>
          </w:tcPr>
          <w:p>
            <w:pPr>
              <w:jc w:val="left"/>
              <w:rPr>
                <w:rFonts w:hint="eastAsia" w:ascii="宋体" w:hAnsi="宋体" w:eastAsia="宋体"/>
                <w:b/>
                <w:color w:val="000000" w:themeColor="text1"/>
                <w:sz w:val="20"/>
                <w:szCs w:val="20"/>
                <w:lang w:val="en-US" w:eastAsia="zh-CN"/>
              </w:rPr>
            </w:pPr>
            <w:r>
              <w:rPr>
                <w:rFonts w:hint="eastAsia" w:ascii="宋体" w:hAnsi="宋体"/>
                <w:b/>
                <w:color w:val="000000" w:themeColor="text1"/>
                <w:sz w:val="20"/>
                <w:szCs w:val="20"/>
              </w:rPr>
              <w:t>纠正和预防措施控制；监视和测量设备管理；设备设施管理</w:t>
            </w:r>
            <w:r>
              <w:rPr>
                <w:rFonts w:hint="eastAsia" w:ascii="宋体" w:hAnsi="宋体"/>
                <w:b/>
                <w:color w:val="000000" w:themeColor="text1"/>
                <w:sz w:val="20"/>
                <w:szCs w:val="20"/>
                <w:lang w:val="en-US" w:eastAsia="zh-CN"/>
              </w:rPr>
              <w:t>；</w:t>
            </w:r>
            <w:r>
              <w:rPr>
                <w:rFonts w:hint="eastAsia" w:ascii="宋体" w:hAnsi="宋体"/>
                <w:b/>
                <w:color w:val="000000" w:themeColor="text1"/>
                <w:sz w:val="20"/>
                <w:szCs w:val="20"/>
              </w:rPr>
              <w:t>产品验收管理；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8"/>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rFonts w:hint="eastAsia" w:eastAsia="宋体"/>
                <w:b/>
                <w:sz w:val="20"/>
                <w:szCs w:val="20"/>
                <w:lang w:eastAsia="zh-CN"/>
              </w:rPr>
            </w:pPr>
            <w:r>
              <w:rPr>
                <w:rFonts w:ascii="宋体" w:hAnsi="宋体" w:cs="宋体"/>
                <w:color w:val="000000"/>
                <w:kern w:val="0"/>
                <w:szCs w:val="21"/>
              </w:rPr>
              <w:t>仪器仪表、机电产品、电子产品及元器件的销售，机械设备的设计</w:t>
            </w:r>
          </w:p>
        </w:tc>
        <w:tc>
          <w:tcPr>
            <w:tcW w:w="2519" w:type="dxa"/>
          </w:tcPr>
          <w:p>
            <w:pPr>
              <w:rPr>
                <w:b/>
                <w:sz w:val="20"/>
                <w:szCs w:val="20"/>
              </w:rPr>
            </w:pPr>
            <w:r>
              <w:rPr>
                <w:rFonts w:hint="eastAsia"/>
                <w:b/>
                <w:sz w:val="20"/>
                <w:szCs w:val="20"/>
              </w:rPr>
              <w:t>服务</w:t>
            </w:r>
          </w:p>
        </w:tc>
        <w:tc>
          <w:tcPr>
            <w:tcW w:w="1843" w:type="dxa"/>
          </w:tcPr>
          <w:p>
            <w:pPr>
              <w:rPr>
                <w:b/>
                <w:sz w:val="20"/>
                <w:szCs w:val="20"/>
              </w:rPr>
            </w:pPr>
          </w:p>
        </w:tc>
        <w:tc>
          <w:tcPr>
            <w:tcW w:w="3543" w:type="dxa"/>
          </w:tcPr>
          <w:p>
            <w:pPr>
              <w:rPr>
                <w:b/>
                <w:sz w:val="20"/>
                <w:szCs w:val="20"/>
              </w:rPr>
            </w:pPr>
            <w:r>
              <w:rPr>
                <w:rFonts w:hint="eastAsia" w:ascii="宋体" w:hAnsi="宋体" w:eastAsia="宋体"/>
                <w:szCs w:val="21"/>
                <w:lang w:val="en-US" w:eastAsia="zh-CN"/>
              </w:rPr>
              <w:t>压力表</w:t>
            </w:r>
            <w:r>
              <w:rPr>
                <w:rFonts w:hint="eastAsia" w:ascii="宋体" w:hAnsi="宋体" w:eastAsia="宋体"/>
                <w:szCs w:val="21"/>
              </w:rPr>
              <w:t xml:space="preserve">GB/T </w:t>
            </w:r>
            <w:r>
              <w:rPr>
                <w:rFonts w:hint="eastAsia" w:ascii="宋体" w:hAnsi="宋体" w:eastAsia="宋体"/>
                <w:szCs w:val="21"/>
                <w:lang w:val="en-US" w:eastAsia="zh-CN"/>
              </w:rPr>
              <w:t>1226</w:t>
            </w:r>
            <w:r>
              <w:rPr>
                <w:rFonts w:hint="eastAsia" w:ascii="宋体" w:hAnsi="宋体" w:eastAsia="宋体"/>
                <w:szCs w:val="21"/>
              </w:rPr>
              <w:t>-20</w:t>
            </w:r>
            <w:r>
              <w:rPr>
                <w:rFonts w:hint="eastAsia" w:ascii="宋体" w:hAnsi="宋体" w:eastAsia="宋体"/>
                <w:szCs w:val="21"/>
                <w:lang w:val="en-US" w:eastAsia="zh-CN"/>
              </w:rPr>
              <w:t>20</w:t>
            </w:r>
            <w:r>
              <w:rPr>
                <w:rFonts w:hint="eastAsia" w:ascii="宋体" w:hAnsi="宋体" w:eastAsia="宋体"/>
                <w:szCs w:val="21"/>
                <w:lang w:eastAsia="zh-CN"/>
              </w:rPr>
              <w:t>、</w:t>
            </w:r>
            <w:r>
              <w:rPr>
                <w:rFonts w:hint="eastAsia" w:ascii="宋体" w:hAnsi="宋体" w:eastAsia="宋体"/>
                <w:szCs w:val="21"/>
              </w:rPr>
              <w:t>线性尺寸的未注公差</w:t>
            </w:r>
            <w:r>
              <w:rPr>
                <w:rFonts w:hint="eastAsia" w:ascii="宋体" w:hAnsi="宋体" w:eastAsia="宋体"/>
                <w:szCs w:val="21"/>
                <w:lang w:eastAsia="zh-CN"/>
              </w:rPr>
              <w:t>（</w:t>
            </w:r>
            <w:r>
              <w:rPr>
                <w:rFonts w:hint="eastAsia" w:ascii="宋体" w:hAnsi="宋体" w:eastAsia="宋体"/>
                <w:szCs w:val="21"/>
              </w:rPr>
              <w:t>GB/T1804-f</w:t>
            </w:r>
            <w:r>
              <w:rPr>
                <w:rFonts w:hint="eastAsia" w:ascii="宋体" w:hAnsi="宋体" w:eastAsia="宋体"/>
                <w:szCs w:val="21"/>
                <w:lang w:eastAsia="zh-CN"/>
              </w:rPr>
              <w:t>）、</w:t>
            </w:r>
            <w:r>
              <w:rPr>
                <w:rFonts w:hint="eastAsia" w:ascii="宋体" w:hAnsi="宋体" w:eastAsia="宋体"/>
                <w:szCs w:val="21"/>
              </w:rPr>
              <w:t>形位的未注公差</w:t>
            </w:r>
            <w:r>
              <w:rPr>
                <w:rFonts w:hint="eastAsia" w:ascii="宋体" w:hAnsi="宋体" w:eastAsia="宋体"/>
                <w:szCs w:val="21"/>
                <w:lang w:eastAsia="zh-CN"/>
              </w:rPr>
              <w:t>（</w:t>
            </w:r>
            <w:r>
              <w:rPr>
                <w:rFonts w:hint="eastAsia" w:ascii="宋体" w:hAnsi="宋体" w:eastAsia="宋体"/>
                <w:szCs w:val="21"/>
              </w:rPr>
              <w:t>GB/T1184-H</w:t>
            </w:r>
            <w:r>
              <w:rPr>
                <w:rFonts w:hint="eastAsia" w:ascii="宋体" w:hAnsi="宋体" w:eastAsia="宋体"/>
                <w:szCs w:val="21"/>
                <w:lang w:eastAsia="zh-CN"/>
              </w:rPr>
              <w:t>）、</w:t>
            </w:r>
            <w:r>
              <w:rPr>
                <w:rFonts w:ascii="宋体" w:hAnsi="宋体" w:cs="Arial"/>
                <w:color w:val="000000"/>
                <w:szCs w:val="21"/>
                <w:shd w:val="clear" w:color="auto" w:fill="FFFFFF"/>
              </w:rPr>
              <w:t>中华人民共和国产品质量法</w:t>
            </w:r>
            <w:r>
              <w:rPr>
                <w:rFonts w:hint="eastAsia" w:ascii="宋体" w:hAnsi="宋体" w:cs="Arial"/>
                <w:color w:val="000000"/>
                <w:szCs w:val="21"/>
                <w:shd w:val="clear" w:color="auto" w:fill="FFFFFF"/>
              </w:rPr>
              <w:t>、</w:t>
            </w:r>
            <w:r>
              <w:rPr>
                <w:rFonts w:hint="eastAsia"/>
              </w:rPr>
              <w:t>中华人民共和国消费者权益保护法</w:t>
            </w:r>
            <w:r>
              <w:rPr>
                <w:rFonts w:hint="eastAsia" w:ascii="宋体" w:hAnsi="宋体"/>
                <w:szCs w:val="21"/>
              </w:rPr>
              <w:t>、合同协议。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b/>
          <w:color w:val="000000" w:themeColor="text1"/>
          <w:spacing w:val="-10"/>
          <w:szCs w:val="21"/>
        </w:rPr>
        <w:t xml:space="preserve"> 体系运行时间</w:t>
      </w:r>
      <w:r>
        <w:rPr>
          <w:rFonts w:hint="eastAsia"/>
          <w:b/>
          <w:color w:val="000000" w:themeColor="text1"/>
          <w:spacing w:val="-10"/>
          <w:szCs w:val="21"/>
          <w:u w:val="single"/>
        </w:rPr>
        <w:t xml:space="preserve"> 20</w:t>
      </w:r>
      <w:r>
        <w:rPr>
          <w:rFonts w:hint="eastAsia"/>
          <w:b/>
          <w:color w:val="000000" w:themeColor="text1"/>
          <w:spacing w:val="-10"/>
          <w:szCs w:val="21"/>
          <w:u w:val="single"/>
          <w:lang w:val="en-US" w:eastAsia="zh-CN"/>
        </w:rPr>
        <w:t>21</w:t>
      </w:r>
      <w:r>
        <w:rPr>
          <w:rFonts w:hint="eastAsia"/>
          <w:b/>
          <w:color w:val="000000" w:themeColor="text1"/>
          <w:spacing w:val="-10"/>
          <w:szCs w:val="21"/>
        </w:rPr>
        <w:t>年</w:t>
      </w:r>
      <w:r>
        <w:rPr>
          <w:rFonts w:hint="eastAsia"/>
          <w:b/>
          <w:color w:val="000000" w:themeColor="text1"/>
          <w:spacing w:val="-10"/>
          <w:szCs w:val="21"/>
          <w:u w:val="single"/>
          <w:lang w:val="en-US" w:eastAsia="zh-CN"/>
        </w:rPr>
        <w:t>1</w:t>
      </w:r>
      <w:r>
        <w:rPr>
          <w:rFonts w:hint="eastAsia"/>
          <w:b/>
          <w:color w:val="000000" w:themeColor="text1"/>
          <w:spacing w:val="-10"/>
          <w:szCs w:val="21"/>
        </w:rPr>
        <w:t>月</w:t>
      </w:r>
      <w:bookmarkStart w:id="21" w:name="OLE_LINK1"/>
      <w:r>
        <w:rPr>
          <w:rFonts w:hint="eastAsia"/>
          <w:b/>
          <w:color w:val="000000" w:themeColor="text1"/>
          <w:spacing w:val="-10"/>
          <w:szCs w:val="21"/>
          <w:u w:val="single"/>
        </w:rPr>
        <w:t>1</w:t>
      </w:r>
      <w:r>
        <w:rPr>
          <w:rFonts w:hint="eastAsia"/>
          <w:b/>
          <w:color w:val="000000" w:themeColor="text1"/>
          <w:spacing w:val="-10"/>
          <w:szCs w:val="21"/>
        </w:rPr>
        <w:t>日</w:t>
      </w:r>
      <w:bookmarkEnd w:id="21"/>
      <w:r>
        <w:rPr>
          <w:rFonts w:hint="eastAsia"/>
          <w:b/>
          <w:color w:val="000000" w:themeColor="text1"/>
          <w:spacing w:val="-10"/>
          <w:szCs w:val="21"/>
        </w:rPr>
        <w:t>至</w:t>
      </w:r>
      <w:r>
        <w:rPr>
          <w:rFonts w:hint="eastAsia"/>
          <w:b/>
          <w:color w:val="000000" w:themeColor="text1"/>
          <w:spacing w:val="-10"/>
          <w:szCs w:val="21"/>
          <w:u w:val="single"/>
        </w:rPr>
        <w:t xml:space="preserve">  202</w:t>
      </w:r>
      <w:r>
        <w:rPr>
          <w:rFonts w:hint="eastAsia"/>
          <w:b/>
          <w:color w:val="000000" w:themeColor="text1"/>
          <w:spacing w:val="-10"/>
          <w:szCs w:val="21"/>
          <w:u w:val="single"/>
          <w:lang w:val="en-US" w:eastAsia="zh-CN"/>
        </w:rPr>
        <w:t>1</w:t>
      </w:r>
      <w:r>
        <w:rPr>
          <w:rFonts w:hint="eastAsia"/>
          <w:b/>
          <w:color w:val="000000" w:themeColor="text1"/>
          <w:spacing w:val="-10"/>
          <w:szCs w:val="21"/>
        </w:rPr>
        <w:t>年</w:t>
      </w:r>
      <w:r>
        <w:rPr>
          <w:rFonts w:hint="eastAsia"/>
          <w:b/>
          <w:color w:val="000000" w:themeColor="text1"/>
          <w:spacing w:val="-10"/>
          <w:szCs w:val="21"/>
          <w:u w:val="single"/>
          <w:lang w:val="en-US" w:eastAsia="zh-CN"/>
        </w:rPr>
        <w:t>6</w:t>
      </w:r>
      <w:r>
        <w:rPr>
          <w:rFonts w:hint="eastAsia"/>
          <w:b/>
          <w:color w:val="000000" w:themeColor="text1"/>
          <w:spacing w:val="-10"/>
          <w:szCs w:val="21"/>
        </w:rPr>
        <w:t>月</w:t>
      </w:r>
      <w:r>
        <w:rPr>
          <w:rFonts w:hint="eastAsia"/>
          <w:b/>
          <w:color w:val="000000" w:themeColor="text1"/>
          <w:spacing w:val="-10"/>
          <w:szCs w:val="21"/>
          <w:u w:val="single"/>
          <w:lang w:val="en-US" w:eastAsia="zh-CN"/>
        </w:rPr>
        <w:t>23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39" w:leftChars="-337" w:hanging="569" w:hangingChars="271"/>
        <w:rPr>
          <w:b/>
          <w:color w:val="000000" w:themeColor="text1"/>
          <w:spacing w:val="-10"/>
          <w:szCs w:val="21"/>
        </w:rPr>
      </w:pPr>
      <w:r>
        <w:rPr>
          <w:rFonts w:hint="eastAsia" w:ascii="宋体" w:hAnsi="宋体"/>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7"/>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rPr>
                <w:rFonts w:hAnsi="宋体" w:cs="宋体"/>
                <w:sz w:val="21"/>
                <w:szCs w:val="21"/>
              </w:rPr>
            </w:pPr>
            <w:r>
              <w:rPr>
                <w:rFonts w:hint="eastAsia" w:hAnsi="宋体" w:cs="宋体"/>
                <w:sz w:val="21"/>
                <w:szCs w:val="21"/>
                <w:highlight w:val="none"/>
              </w:rPr>
              <w:t>重庆华晟实业有限公司是一家主要从事机械设备的研发、生产公司，主要服务于制造行业</w:t>
            </w:r>
            <w:r>
              <w:rPr>
                <w:rFonts w:hint="eastAsia" w:hAnsi="宋体" w:cs="宋体"/>
                <w:sz w:val="21"/>
                <w:szCs w:val="21"/>
                <w:highlight w:val="none"/>
                <w:lang w:eastAsia="zh-CN"/>
              </w:rPr>
              <w:t>。</w:t>
            </w:r>
            <w:r>
              <w:rPr>
                <w:rFonts w:hint="eastAsia" w:hAnsi="宋体" w:cs="宋体"/>
                <w:sz w:val="21"/>
                <w:szCs w:val="21"/>
                <w:highlight w:val="none"/>
              </w:rPr>
              <w:t>目前员工人数</w:t>
            </w:r>
            <w:r>
              <w:rPr>
                <w:rFonts w:hint="eastAsia" w:hAnsi="宋体" w:cs="宋体"/>
                <w:sz w:val="21"/>
                <w:szCs w:val="21"/>
                <w:highlight w:val="none"/>
                <w:lang w:val="en-US" w:eastAsia="zh-CN"/>
              </w:rPr>
              <w:t>9</w:t>
            </w:r>
            <w:r>
              <w:rPr>
                <w:rFonts w:hint="eastAsia" w:hAnsi="宋体" w:cs="宋体"/>
                <w:sz w:val="21"/>
                <w:szCs w:val="21"/>
                <w:highlight w:val="none"/>
              </w:rPr>
              <w:t>人，经营状况良好。</w:t>
            </w:r>
          </w:p>
          <w:p>
            <w:pPr>
              <w:spacing w:line="240" w:lineRule="exact"/>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z w:val="20"/>
                <w:szCs w:val="20"/>
              </w:rPr>
              <w:t>□</w:t>
            </w:r>
            <w:r>
              <w:rPr>
                <w:rFonts w:hint="eastAsia" w:ascii="宋体" w:hAnsi="宋体"/>
                <w:b/>
                <w:color w:val="000000" w:themeColor="text1"/>
                <w:sz w:val="20"/>
                <w:szCs w:val="20"/>
              </w:rPr>
              <w:t>质量/■环境/■职业健康安全方针（组织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jc w:val="left"/>
              <w:rPr>
                <w:rFonts w:hint="eastAsia"/>
                <w:szCs w:val="22"/>
                <w:lang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w:t>
            </w:r>
            <w:r>
              <w:rPr>
                <w:rFonts w:hint="eastAsia" w:ascii="宋体" w:hAnsi="宋体" w:cs="宋体"/>
                <w:szCs w:val="21"/>
              </w:rPr>
              <w:t>环境管理</w:t>
            </w:r>
            <w:r>
              <w:rPr>
                <w:rFonts w:hint="eastAsia" w:ascii="宋体" w:hAnsi="宋体" w:cs="宋体"/>
                <w:szCs w:val="21"/>
                <w:lang w:eastAsia="zh-CN"/>
              </w:rPr>
              <w:t>、</w:t>
            </w:r>
            <w:r>
              <w:rPr>
                <w:rFonts w:hint="eastAsia" w:asciiTheme="minorEastAsia" w:hAnsiTheme="minorEastAsia" w:eastAsiaTheme="minorEastAsia" w:cstheme="minorEastAsia"/>
                <w:szCs w:val="21"/>
              </w:rPr>
              <w:t>职业健康安全</w:t>
            </w:r>
            <w:r>
              <w:rPr>
                <w:rFonts w:hint="eastAsia" w:ascii="宋体" w:hAnsi="宋体" w:cs="宋体"/>
                <w:szCs w:val="21"/>
              </w:rPr>
              <w:t>方针：</w:t>
            </w:r>
            <w:r>
              <w:rPr>
                <w:rFonts w:hint="eastAsia"/>
                <w:szCs w:val="22"/>
                <w:lang w:eastAsia="zh-CN"/>
              </w:rPr>
              <w:t>“保障安全  预防污染  遵守法规  持续改进”。</w:t>
            </w:r>
          </w:p>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tabs>
                <w:tab w:val="left" w:pos="540"/>
              </w:tabs>
              <w:spacing w:line="300" w:lineRule="exact"/>
              <w:ind w:left="201" w:hanging="201" w:hangingChars="100"/>
              <w:rPr>
                <w:rFonts w:ascii="宋体" w:hAnsi="宋体"/>
                <w:b/>
                <w:color w:val="000000" w:themeColor="text1"/>
                <w:sz w:val="20"/>
                <w:szCs w:val="20"/>
                <w:highlight w:val="green"/>
                <w:u w:val="single"/>
              </w:rPr>
            </w:pPr>
            <w:r>
              <w:rPr>
                <w:rFonts w:hint="eastAsia" w:ascii="宋体" w:hAnsi="宋体"/>
                <w:b/>
                <w:color w:val="000000" w:themeColor="text1"/>
                <w:sz w:val="20"/>
                <w:szCs w:val="20"/>
              </w:rPr>
              <w:t>质量管理体系过程有：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ascii="宋体" w:hAnsi="宋体"/>
                <w:b/>
                <w:color w:val="000000" w:themeColor="text1"/>
                <w:sz w:val="20"/>
                <w:szCs w:val="20"/>
                <w:u w:val="single"/>
              </w:rPr>
            </w:pPr>
            <w:r>
              <w:rPr>
                <w:rFonts w:hint="eastAsia" w:ascii="宋体" w:hAnsi="宋体"/>
                <w:b/>
                <w:color w:val="000000" w:themeColor="text1"/>
                <w:sz w:val="20"/>
                <w:szCs w:val="20"/>
              </w:rPr>
              <w:t xml:space="preserve">需要确认过程：  </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rPr>
              <w:pict>
                <v:shape id="_x0000_s2050" o:spid="_x0000_s2050" o:spt="32" type="#_x0000_t32" style="position:absolute;left:0pt;margin-left:157.9pt;margin-top:12.75pt;height:0pt;width:261.75pt;z-index:25166233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rPr>
              <w:pict>
                <v:shape id="_x0000_s2051" o:spid="_x0000_s2051" o:spt="32" type="#_x0000_t32" style="position:absolute;left:0pt;margin-left:55.15pt;margin-top:12.75pt;height:0pt;width:42pt;z-index:25166131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rPr>
              <w:t>不适用条款是       ，不适用理由：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7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15" w:firstLineChars="150"/>
              <w:rPr>
                <w:rFonts w:asciiTheme="minorEastAsia" w:hAnsiTheme="minorEastAsia" w:eastAsiaTheme="minorEastAsia"/>
                <w:b/>
                <w:color w:val="000000" w:themeColor="text1"/>
                <w:sz w:val="20"/>
                <w:szCs w:val="20"/>
              </w:rPr>
            </w:pPr>
            <w:r>
              <w:rPr>
                <w:rFonts w:hint="eastAsia" w:asciiTheme="minorEastAsia" w:hAnsiTheme="minorEastAsia" w:eastAsiaTheme="minorEastAsia"/>
                <w:bCs/>
                <w:iCs/>
              </w:rPr>
              <w:t>组织建立了环境因素识别、评价控制程序，识别评价了环境因素、风险相关的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420" w:firstLineChars="200"/>
              <w:rPr>
                <w:rFonts w:ascii="宋体" w:hAnsi="宋体"/>
                <w:b/>
                <w:color w:val="000000" w:themeColor="text1"/>
                <w:spacing w:val="-8"/>
                <w:sz w:val="20"/>
                <w:szCs w:val="20"/>
              </w:rPr>
            </w:pPr>
            <w:r>
              <w:rPr>
                <w:rFonts w:hint="eastAsia" w:ascii="宋体" w:hAnsi="宋体"/>
                <w:color w:val="000000" w:themeColor="text1"/>
              </w:rPr>
              <w:t>组织建立了危险源识别、评价控制程序，识别评价了危险源、风险相关的过程，评价出了重要危险源，与之相关的过程有客户开发、销售</w:t>
            </w:r>
            <w:r>
              <w:rPr>
                <w:rFonts w:hint="eastAsia" w:ascii="宋体" w:hAnsi="宋体"/>
                <w:color w:val="000000" w:themeColor="text1"/>
                <w:lang w:eastAsia="zh-CN"/>
              </w:rPr>
              <w:t>、</w:t>
            </w:r>
            <w:r>
              <w:rPr>
                <w:rFonts w:hint="eastAsia" w:ascii="宋体" w:hAnsi="宋体"/>
                <w:color w:val="000000" w:themeColor="text1"/>
                <w:lang w:val="en-US" w:eastAsia="zh-CN"/>
              </w:rPr>
              <w:t>设计</w:t>
            </w:r>
            <w:r>
              <w:rPr>
                <w:rFonts w:hint="eastAsia" w:ascii="宋体" w:hAnsi="宋体"/>
                <w:color w:val="000000" w:themeColor="text1"/>
              </w:rPr>
              <w:t>，针对重要危险源制定了管理方案。控制措施实施有效。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2"/>
              <w:numPr>
                <w:ilvl w:val="0"/>
                <w:numId w:val="2"/>
              </w:numPr>
              <w:tabs>
                <w:tab w:val="left" w:pos="540"/>
              </w:tabs>
              <w:spacing w:line="300" w:lineRule="exact"/>
              <w:ind w:firstLineChars="0"/>
              <w:rPr>
                <w:rFonts w:ascii="宋体" w:hAnsi="宋体"/>
                <w:b/>
                <w:color w:val="000000" w:themeColor="text1"/>
                <w:szCs w:val="21"/>
                <w:u w:val="single"/>
              </w:rPr>
            </w:pPr>
            <w:r>
              <w:rPr>
                <w:rFonts w:hint="eastAsia" w:ascii="宋体" w:hAnsi="宋体"/>
                <w:b/>
                <w:color w:val="000000" w:themeColor="text1"/>
                <w:szCs w:val="21"/>
              </w:rPr>
              <w:t>获取法律法规项，■法律法规获取充分，□法律法规获取有遗漏，缺少</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结合公司的■产品/服务■环境因素■危险源，■确定 □未确定法律法规要求的具体条款，</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法律法规的宣传方式：培训、会议、张贴。</w:t>
            </w:r>
          </w:p>
          <w:p>
            <w:pPr>
              <w:pStyle w:val="12"/>
              <w:numPr>
                <w:ilvl w:val="0"/>
                <w:numId w:val="2"/>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ascii="宋体" w:hAnsi="宋体"/>
                <w:b/>
                <w:color w:val="000000" w:themeColor="text1"/>
                <w:sz w:val="20"/>
                <w:szCs w:val="20"/>
              </w:rPr>
            </w:pPr>
            <w:r>
              <w:rPr>
                <w:rFonts w:hint="eastAsia" w:ascii="宋体" w:hAnsi="宋体" w:cs="宋体"/>
                <w:color w:val="000000"/>
                <w:kern w:val="0"/>
                <w:szCs w:val="21"/>
              </w:rPr>
              <w:t>公司制定、发布了总体目标并分解到相关职能部门和层次，规定了目标值、计算方法、责任部门、检查人、考核频次等。同时，目标得到沟通和监视评价，通过数据的汇总统计、描述性统计等方法对目标进行了测量，总体已达到或超过了规定的目标值，但目标的数据分析利用不到位</w:t>
            </w:r>
          </w:p>
          <w:p>
            <w:pPr>
              <w:ind w:firstLine="1365" w:firstLineChars="650"/>
              <w:rPr>
                <w:highlight w:val="green"/>
              </w:rPr>
            </w:pPr>
            <w:r>
              <w:rPr>
                <w:rFonts w:hint="eastAsia"/>
              </w:rPr>
              <w:t>环境、职业健康安全目标：（考核时间20</w:t>
            </w:r>
            <w:r>
              <w:rPr>
                <w:rFonts w:hint="eastAsia"/>
                <w:lang w:val="en-US" w:eastAsia="zh-CN"/>
              </w:rPr>
              <w:t>21</w:t>
            </w:r>
            <w:r>
              <w:rPr>
                <w:rFonts w:hint="eastAsia"/>
              </w:rPr>
              <w:t>年</w:t>
            </w:r>
            <w:r>
              <w:rPr>
                <w:rFonts w:hint="eastAsia"/>
                <w:lang w:val="en-US" w:eastAsia="zh-CN"/>
              </w:rPr>
              <w:t>1</w:t>
            </w:r>
            <w:r>
              <w:rPr>
                <w:rFonts w:hint="eastAsia"/>
              </w:rPr>
              <w:t>月-202</w:t>
            </w:r>
            <w:r>
              <w:rPr>
                <w:rFonts w:hint="eastAsia"/>
                <w:lang w:val="en-US" w:eastAsia="zh-CN"/>
              </w:rPr>
              <w:t>1</w:t>
            </w:r>
            <w:r>
              <w:rPr>
                <w:rFonts w:hint="eastAsia"/>
              </w:rPr>
              <w:t>年</w:t>
            </w:r>
            <w:r>
              <w:rPr>
                <w:rFonts w:hint="eastAsia"/>
                <w:lang w:val="en-US" w:eastAsia="zh-CN"/>
              </w:rPr>
              <w:t>5</w:t>
            </w:r>
            <w:r>
              <w:rPr>
                <w:rFonts w:hint="eastAsia"/>
              </w:rPr>
              <w:t>月）</w:t>
            </w:r>
          </w:p>
          <w:p>
            <w:pPr>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宋体" w:hAnsi="宋体" w:cs="Tahoma"/>
                <w:kern w:val="0"/>
                <w:sz w:val="21"/>
                <w:szCs w:val="21"/>
              </w:rPr>
              <w:t>固废处置率100%</w:t>
            </w:r>
            <w:r>
              <w:rPr>
                <w:rFonts w:hint="eastAsia" w:ascii="宋体" w:hAnsi="宋体" w:cs="Tahoma"/>
                <w:kern w:val="0"/>
                <w:sz w:val="21"/>
                <w:szCs w:val="21"/>
                <w:lang w:val="en-US" w:eastAsia="zh-CN"/>
              </w:rPr>
              <w:t>；</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100%</w:t>
            </w:r>
          </w:p>
          <w:p>
            <w:pPr>
              <w:numPr>
                <w:ilvl w:val="0"/>
                <w:numId w:val="0"/>
              </w:numPr>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rPr>
              <w:t>2、</w:t>
            </w:r>
            <w:r>
              <w:rPr>
                <w:rFonts w:hint="eastAsia" w:ascii="宋体" w:hAnsi="宋体" w:cs="Tahoma"/>
                <w:kern w:val="0"/>
                <w:sz w:val="21"/>
                <w:szCs w:val="21"/>
              </w:rPr>
              <w:t>火灾</w:t>
            </w:r>
            <w:r>
              <w:rPr>
                <w:rFonts w:hint="eastAsia" w:ascii="宋体" w:hAnsi="宋体" w:cs="Tahoma"/>
                <w:kern w:val="0"/>
                <w:sz w:val="21"/>
                <w:szCs w:val="21"/>
                <w:lang w:val="en-US" w:eastAsia="zh-CN"/>
              </w:rPr>
              <w:t>发生率</w:t>
            </w:r>
            <w:r>
              <w:rPr>
                <w:rFonts w:hint="eastAsia" w:ascii="宋体" w:hAnsi="宋体" w:cs="Tahoma"/>
                <w:kern w:val="0"/>
                <w:sz w:val="21"/>
                <w:szCs w:val="21"/>
              </w:rPr>
              <w:t>为零</w:t>
            </w:r>
            <w:r>
              <w:rPr>
                <w:rFonts w:hint="eastAsia"/>
                <w:lang w:eastAsia="zh-CN"/>
              </w:rPr>
              <w:t>；</w:t>
            </w:r>
            <w:r>
              <w:rPr>
                <w:rFonts w:hint="eastAsia"/>
                <w:lang w:val="en-US" w:eastAsia="zh-CN"/>
              </w:rPr>
              <w:t xml:space="preserve">                        </w:t>
            </w:r>
            <w:r>
              <w:rPr>
                <w:rFonts w:hint="eastAsia"/>
                <w:szCs w:val="21"/>
              </w:rPr>
              <w:t>无</w:t>
            </w:r>
            <w:r>
              <w:rPr>
                <w:rFonts w:hint="eastAsia" w:ascii="宋体" w:hAnsi="宋体" w:cs="Tahoma"/>
                <w:kern w:val="0"/>
                <w:sz w:val="21"/>
                <w:szCs w:val="21"/>
              </w:rPr>
              <w:t>火灾事件</w:t>
            </w:r>
            <w:r>
              <w:rPr>
                <w:rFonts w:hint="eastAsia"/>
                <w:szCs w:val="21"/>
              </w:rPr>
              <w:t>发生</w:t>
            </w:r>
            <w:r>
              <w:rPr>
                <w:rFonts w:hint="eastAsia" w:asciiTheme="minorEastAsia" w:hAnsiTheme="minorEastAsia" w:eastAsiaTheme="minorEastAsia" w:cstheme="minorEastAsia"/>
                <w:szCs w:val="21"/>
                <w:lang w:val="en-US" w:eastAsia="zh-CN"/>
              </w:rPr>
              <w:t xml:space="preserve">    </w:t>
            </w:r>
          </w:p>
          <w:p>
            <w:pPr>
              <w:numPr>
                <w:ilvl w:val="0"/>
                <w:numId w:val="0"/>
              </w:numPr>
              <w:jc w:val="left"/>
              <w:rPr>
                <w:rFonts w:ascii="宋体" w:hAnsi="宋体"/>
                <w:b/>
                <w:color w:val="000000" w:themeColor="text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w:t>
            </w:r>
            <w:r>
              <w:rPr>
                <w:rFonts w:hint="eastAsia" w:ascii="宋体" w:hAnsi="宋体" w:cs="Tahoma"/>
                <w:kern w:val="0"/>
                <w:sz w:val="21"/>
                <w:szCs w:val="21"/>
              </w:rPr>
              <w:t>环境污染事</w:t>
            </w:r>
            <w:r>
              <w:rPr>
                <w:rFonts w:hint="eastAsia" w:ascii="宋体" w:hAnsi="宋体" w:cs="Tahoma"/>
                <w:kern w:val="0"/>
                <w:sz w:val="21"/>
                <w:szCs w:val="21"/>
                <w:lang w:val="en-US" w:eastAsia="zh-CN"/>
              </w:rPr>
              <w:t>故</w:t>
            </w:r>
            <w:r>
              <w:rPr>
                <w:rFonts w:hint="eastAsia" w:ascii="宋体" w:hAnsi="宋体" w:cs="Tahoma"/>
                <w:kern w:val="0"/>
                <w:sz w:val="21"/>
                <w:szCs w:val="21"/>
              </w:rPr>
              <w:t>为零</w:t>
            </w:r>
            <w:r>
              <w:rPr>
                <w:rFonts w:hint="eastAsia" w:ascii="宋体" w:hAnsi="宋体" w:cs="Tahoma"/>
                <w:kern w:val="0"/>
                <w:sz w:val="21"/>
                <w:szCs w:val="21"/>
                <w:lang w:eastAsia="zh-CN"/>
              </w:rPr>
              <w:t>。</w:t>
            </w:r>
            <w:r>
              <w:rPr>
                <w:rFonts w:hint="eastAsia"/>
                <w:lang w:val="en-US" w:eastAsia="zh-CN"/>
              </w:rPr>
              <w:t xml:space="preserve">                  </w:t>
            </w:r>
            <w:r>
              <w:rPr>
                <w:rFonts w:hint="eastAsia"/>
                <w:szCs w:val="21"/>
              </w:rPr>
              <w:t>无</w:t>
            </w:r>
            <w:r>
              <w:rPr>
                <w:rFonts w:hint="eastAsia" w:ascii="宋体" w:hAnsi="宋体" w:cs="Tahoma"/>
                <w:kern w:val="0"/>
                <w:sz w:val="21"/>
                <w:szCs w:val="21"/>
              </w:rPr>
              <w:t>环境污染事</w:t>
            </w:r>
            <w:r>
              <w:rPr>
                <w:rFonts w:hint="eastAsia" w:ascii="宋体" w:hAnsi="宋体" w:cs="Tahoma"/>
                <w:kern w:val="0"/>
                <w:sz w:val="21"/>
                <w:szCs w:val="21"/>
                <w:lang w:val="en-US" w:eastAsia="zh-CN"/>
              </w:rPr>
              <w:t>故</w:t>
            </w:r>
            <w:r>
              <w:rPr>
                <w:rFonts w:hint="eastAsia"/>
                <w:szCs w:val="21"/>
              </w:rPr>
              <w:t>发生</w:t>
            </w:r>
            <w:r>
              <w:rPr>
                <w:rFonts w:hint="eastAsia" w:asciiTheme="minorEastAsia" w:hAnsiTheme="minorEastAsia" w:eastAsiaTheme="minorEastAsia" w:cstheme="minorEastAsia"/>
                <w:szCs w:val="21"/>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rPr>
              <w:t>环境和职业健康安全</w:t>
            </w:r>
            <w:r>
              <w:rPr>
                <w:rFonts w:hint="eastAsia" w:ascii="宋体" w:hAnsi="宋体" w:cs="宋体"/>
                <w:color w:val="000000" w:themeColor="text1"/>
              </w:rPr>
              <w:t>管理体系，体系文件对管理体系各过程进行了识别确定、明确了各要素间的相互关系及其管控要求。公司体系文件于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21</w:t>
            </w:r>
            <w:r>
              <w:rPr>
                <w:rFonts w:hint="eastAsia" w:ascii="宋体" w:hAnsi="宋体" w:cs="宋体"/>
                <w:color w:val="000000" w:themeColor="text1"/>
              </w:rPr>
              <w:t>年</w:t>
            </w:r>
            <w:r>
              <w:rPr>
                <w:rFonts w:hint="eastAsia" w:ascii="宋体" w:hAnsi="宋体" w:cs="宋体"/>
                <w:color w:val="000000" w:themeColor="text1"/>
                <w:lang w:val="en-US" w:eastAsia="zh-CN"/>
              </w:rPr>
              <w:t>1</w:t>
            </w:r>
            <w:r>
              <w:rPr>
                <w:rFonts w:hint="eastAsia" w:ascii="宋体" w:hAnsi="宋体" w:cs="宋体"/>
                <w:color w:val="000000" w:themeColor="text1"/>
              </w:rPr>
              <w:t>月1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
                <w:color w:val="000000" w:themeColor="text1"/>
                <w:sz w:val="20"/>
                <w:szCs w:val="20"/>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rPr>
              <w:t>机械零部件、仪器仪表、包装纸制品的销售</w:t>
            </w:r>
            <w:r>
              <w:rPr>
                <w:rFonts w:hint="eastAsia" w:ascii="宋体" w:hAnsi="宋体"/>
                <w:bCs/>
                <w:iCs/>
                <w:szCs w:val="22"/>
              </w:rPr>
              <w:t>运行环境，可以维持管理体系的正常运行。</w:t>
            </w: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400" w:lineRule="exact"/>
              <w:rPr>
                <w:rFonts w:ascii="宋体" w:hAnsi="宋体"/>
                <w:b/>
                <w:color w:val="000000" w:themeColor="text1"/>
                <w:sz w:val="20"/>
                <w:szCs w:val="20"/>
              </w:rPr>
            </w:pPr>
            <w:r>
              <w:rPr>
                <w:rFonts w:hint="eastAsia" w:ascii="宋体" w:hAnsi="宋体"/>
                <w:b/>
                <w:color w:val="000000" w:themeColor="text1"/>
                <w:sz w:val="20"/>
                <w:szCs w:val="20"/>
              </w:rPr>
              <w:t>设备设施（包</w:t>
            </w:r>
            <w:r>
              <w:rPr>
                <w:rFonts w:hint="eastAsia" w:ascii="宋体" w:hAnsi="宋体"/>
                <w:b/>
                <w:color w:val="000000" w:themeColor="text1"/>
                <w:sz w:val="20"/>
                <w:szCs w:val="20"/>
                <w:highlight w:val="none"/>
              </w:rPr>
              <w:t>括信息系统）</w:t>
            </w:r>
            <w:r>
              <w:rPr>
                <w:rFonts w:hint="eastAsia" w:ascii="宋体" w:hAnsi="宋体" w:eastAsia="宋体" w:cs="Times New Roman"/>
                <w:sz w:val="21"/>
                <w:szCs w:val="21"/>
                <w:highlight w:val="none"/>
              </w:rPr>
              <w:t>、办公场所面积</w:t>
            </w:r>
            <w:r>
              <w:rPr>
                <w:rFonts w:hint="eastAsia" w:ascii="宋体" w:hAnsi="宋体" w:eastAsia="宋体" w:cs="Times New Roman"/>
                <w:sz w:val="21"/>
                <w:szCs w:val="21"/>
                <w:highlight w:val="none"/>
                <w:lang w:val="en-US" w:eastAsia="zh-CN"/>
              </w:rPr>
              <w:t>55</w:t>
            </w:r>
            <w:r>
              <w:rPr>
                <w:rFonts w:hint="eastAsia" w:ascii="宋体" w:hAnsi="宋体" w:eastAsia="宋体" w:cs="Times New Roman"/>
                <w:sz w:val="21"/>
                <w:szCs w:val="21"/>
                <w:highlight w:val="none"/>
              </w:rPr>
              <w:t>平方左右，公</w:t>
            </w:r>
            <w:r>
              <w:rPr>
                <w:rFonts w:hint="eastAsia" w:ascii="宋体" w:hAnsi="宋体"/>
                <w:sz w:val="21"/>
                <w:szCs w:val="21"/>
                <w:highlight w:val="none"/>
              </w:rPr>
              <w:t>司采取开票销售的方式进行，</w:t>
            </w:r>
            <w:r>
              <w:rPr>
                <w:rFonts w:hint="eastAsia" w:ascii="宋体" w:hAnsi="宋体"/>
                <w:sz w:val="21"/>
                <w:szCs w:val="21"/>
                <w:highlight w:val="none"/>
                <w:lang w:eastAsia="zh-CN"/>
              </w:rPr>
              <w:t>销售商品由供应商</w:t>
            </w:r>
            <w:r>
              <w:rPr>
                <w:rFonts w:hint="eastAsia" w:ascii="宋体" w:hAnsi="宋体"/>
                <w:sz w:val="21"/>
                <w:szCs w:val="21"/>
                <w:highlight w:val="none"/>
              </w:rPr>
              <w:t>直接交付到</w:t>
            </w:r>
            <w:r>
              <w:rPr>
                <w:rFonts w:hint="eastAsia" w:ascii="宋体" w:hAnsi="宋体"/>
                <w:sz w:val="21"/>
                <w:szCs w:val="21"/>
                <w:highlight w:val="none"/>
                <w:lang w:eastAsia="zh-CN"/>
              </w:rPr>
              <w:t>顾客</w:t>
            </w:r>
            <w:r>
              <w:rPr>
                <w:rFonts w:hint="eastAsia" w:ascii="宋体" w:hAnsi="宋体"/>
                <w:sz w:val="21"/>
                <w:szCs w:val="21"/>
                <w:highlight w:val="none"/>
              </w:rPr>
              <w:t>，未设置库房等周转环节</w:t>
            </w:r>
            <w:r>
              <w:rPr>
                <w:rFonts w:hint="eastAsia" w:ascii="宋体" w:hAnsi="宋体"/>
                <w:sz w:val="21"/>
                <w:szCs w:val="21"/>
                <w:highlight w:val="none"/>
                <w:lang w:eastAsia="zh-CN"/>
              </w:rPr>
              <w:t>。</w:t>
            </w:r>
            <w:r>
              <w:rPr>
                <w:rFonts w:hint="eastAsia" w:ascii="宋体" w:hAnsi="宋体" w:cs="宋体"/>
                <w:szCs w:val="21"/>
                <w:highlight w:val="none"/>
              </w:rPr>
              <w:t>主要生产设备包括电脑和办公设备</w:t>
            </w:r>
            <w:r>
              <w:rPr>
                <w:rFonts w:hint="eastAsia" w:ascii="宋体" w:hAnsi="宋体"/>
                <w:szCs w:val="21"/>
                <w:highlight w:val="none"/>
              </w:rPr>
              <w:t>，可以满足</w:t>
            </w:r>
            <w:r>
              <w:rPr>
                <w:rFonts w:ascii="宋体" w:hAnsi="宋体" w:cs="宋体"/>
                <w:color w:val="000000"/>
                <w:kern w:val="0"/>
                <w:szCs w:val="21"/>
              </w:rPr>
              <w:t>仪器仪表、机电产品、电子产品及元器件的销售，机械设备的设计</w:t>
            </w:r>
            <w:r>
              <w:rPr>
                <w:rFonts w:hint="eastAsia" w:ascii="宋体" w:hAnsi="宋体"/>
                <w:color w:val="auto"/>
                <w:szCs w:val="21"/>
                <w:highlight w:val="none"/>
              </w:rPr>
              <w:t>的需要</w:t>
            </w:r>
            <w:r>
              <w:rPr>
                <w:rFonts w:hint="eastAsia" w:ascii="宋体" w:hAnsi="宋体" w:cs="宋体"/>
                <w:color w:val="auto"/>
                <w:szCs w:val="21"/>
                <w:highlight w:val="none"/>
              </w:rPr>
              <w:t>。</w:t>
            </w:r>
            <w:r>
              <w:rPr>
                <w:rFonts w:hint="eastAsia" w:ascii="宋体" w:hAnsi="宋体" w:cs="宋体"/>
                <w:szCs w:val="21"/>
                <w:highlight w:val="none"/>
              </w:rPr>
              <w:t>对设备按月方式进行点检维护保养，并实施。特种设备：无。公司未建立信息管理系统用于生产和服务。</w:t>
            </w:r>
          </w:p>
          <w:p>
            <w:pPr>
              <w:spacing w:line="240" w:lineRule="exact"/>
              <w:rPr>
                <w:rFonts w:ascii="宋体" w:hAnsi="宋体"/>
                <w:b/>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rPr>
                <w:rFonts w:ascii="宋体" w:hAnsi="宋体"/>
                <w:b/>
                <w:color w:val="000000" w:themeColor="text1"/>
                <w:sz w:val="20"/>
                <w:szCs w:val="20"/>
              </w:rPr>
            </w:pPr>
            <w:r>
              <w:rPr>
                <w:rFonts w:hint="eastAsia" w:ascii="宋体" w:hAnsi="宋体" w:cs="宋体"/>
                <w:szCs w:val="21"/>
              </w:rPr>
              <w:t>办公场所内设备布置合理，通道畅通，照明设施齐全，均配备了消防设施等设施。办公室明亮</w:t>
            </w:r>
            <w:r>
              <w:rPr>
                <w:rFonts w:hint="eastAsia" w:ascii="宋体" w:hAnsi="宋体" w:cs="宋体"/>
                <w:szCs w:val="21"/>
                <w:lang w:eastAsia="zh-CN"/>
              </w:rPr>
              <w:t>，</w:t>
            </w:r>
            <w:r>
              <w:rPr>
                <w:rFonts w:hint="eastAsia" w:ascii="宋体" w:hAnsi="宋体" w:cs="宋体"/>
                <w:szCs w:val="21"/>
              </w:rPr>
              <w:t>光线较充足。每月由</w:t>
            </w:r>
            <w:r>
              <w:rPr>
                <w:rFonts w:hint="eastAsia" w:ascii="宋体" w:hAnsi="宋体" w:cs="宋体"/>
                <w:szCs w:val="21"/>
                <w:lang w:eastAsia="zh-CN"/>
              </w:rPr>
              <w:t>行政部</w:t>
            </w:r>
            <w:r>
              <w:rPr>
                <w:rFonts w:hint="eastAsia" w:ascii="宋体" w:hAnsi="宋体" w:cs="宋体"/>
                <w:szCs w:val="21"/>
              </w:rPr>
              <w:t>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监视和测量资源</w:t>
            </w:r>
          </w:p>
          <w:p>
            <w:pPr>
              <w:spacing w:line="240" w:lineRule="exact"/>
              <w:rPr>
                <w:rFonts w:ascii="宋体" w:hAnsi="宋体"/>
                <w:b/>
                <w:sz w:val="20"/>
                <w:szCs w:val="20"/>
              </w:rPr>
            </w:pPr>
            <w:r>
              <w:rPr>
                <w:rFonts w:hint="eastAsia" w:ascii="宋体"/>
                <w:color w:val="000000"/>
                <w:sz w:val="20"/>
                <w:szCs w:val="20"/>
                <w:highlight w:val="none"/>
                <w:lang w:eastAsia="zh-CN"/>
              </w:rPr>
              <w:t>销售的产品</w:t>
            </w:r>
            <w:r>
              <w:rPr>
                <w:rFonts w:hint="eastAsia" w:ascii="宋体"/>
                <w:color w:val="000000"/>
                <w:sz w:val="20"/>
                <w:szCs w:val="20"/>
                <w:highlight w:val="none"/>
              </w:rPr>
              <w:t>出具质检报告，</w:t>
            </w:r>
            <w:r>
              <w:rPr>
                <w:rFonts w:hint="eastAsia" w:ascii="宋体"/>
                <w:color w:val="000000"/>
                <w:sz w:val="20"/>
                <w:szCs w:val="20"/>
                <w:highlight w:val="none"/>
                <w:lang w:eastAsia="zh-CN"/>
              </w:rPr>
              <w:t>客户按约定要求进行</w:t>
            </w:r>
            <w:r>
              <w:rPr>
                <w:rFonts w:hint="eastAsia" w:ascii="宋体"/>
                <w:color w:val="000000"/>
                <w:sz w:val="20"/>
                <w:szCs w:val="20"/>
                <w:highlight w:val="none"/>
              </w:rPr>
              <w:t>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240" w:lineRule="exact"/>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环保设施：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9"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sz w:val="20"/>
                <w:szCs w:val="20"/>
              </w:rPr>
            </w:pPr>
            <w:r>
              <w:rPr>
                <w:rFonts w:hint="eastAsia" w:ascii="宋体" w:hAnsi="宋体"/>
                <w:b/>
                <w:sz w:val="20"/>
                <w:szCs w:val="20"/>
              </w:rPr>
              <w:t>职业健康安全设施：</w:t>
            </w:r>
          </w:p>
          <w:p>
            <w:pPr>
              <w:spacing w:line="240" w:lineRule="exact"/>
              <w:rPr>
                <w:rFonts w:ascii="宋体" w:hAnsi="宋体"/>
                <w:sz w:val="20"/>
                <w:szCs w:val="20"/>
              </w:rPr>
            </w:pPr>
            <w:r>
              <w:rPr>
                <w:rFonts w:hint="eastAsia" w:ascii="宋体" w:hAnsi="宋体"/>
                <w:sz w:val="20"/>
                <w:szCs w:val="20"/>
              </w:rPr>
              <w:t>消防栓、灭火器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jc w:val="center"/>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 xml:space="preserve">                内部沟通的效果：良好</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组织对外联络，关注顾客的感受情况（QMS）：</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外部信息的接收、成文并答复的情况（E、S填写）：对会议通知和规定等登记处理</w:t>
            </w:r>
          </w:p>
          <w:p>
            <w:pPr>
              <w:spacing w:line="240" w:lineRule="exact"/>
              <w:rPr>
                <w:rFonts w:ascii="楷体_GB2312" w:eastAsia="楷体_GB2312"/>
                <w:b/>
                <w:color w:val="000000" w:themeColor="text1"/>
                <w:sz w:val="20"/>
                <w:szCs w:val="20"/>
              </w:rPr>
            </w:pPr>
          </w:p>
          <w:p>
            <w:pPr>
              <w:spacing w:line="240" w:lineRule="exact"/>
              <w:rPr>
                <w:szCs w:val="21"/>
              </w:rPr>
            </w:pPr>
            <w:r>
              <w:rPr>
                <w:rFonts w:hint="eastAsia" w:ascii="楷体_GB2312" w:eastAsia="楷体_GB2312"/>
                <w:b/>
                <w:color w:val="000000" w:themeColor="text1"/>
                <w:sz w:val="20"/>
                <w:szCs w:val="20"/>
              </w:rPr>
              <w:t>重要环境因素信息对外交流情况（EMS填写）：</w:t>
            </w:r>
            <w:r>
              <w:rPr>
                <w:rFonts w:hint="eastAsia"/>
                <w:szCs w:val="21"/>
              </w:rPr>
              <w:t>主要通过网络、交流及公开信、合同等方式进行，并达成一致性意见实施有效控制</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OHSMS事务代表协商和交流的情况（OHSMS填写）：</w:t>
            </w:r>
            <w:r>
              <w:rPr>
                <w:rFonts w:hint="eastAsia" w:ascii="宋体" w:hAnsi="宋体" w:cs="Arial"/>
                <w:szCs w:val="21"/>
              </w:rPr>
              <w:t>与安全健康管理有关的法律法规，包括《劳动合同法》、《工伤保险条例》等关于员工权益、保险等内容</w:t>
            </w:r>
          </w:p>
          <w:p>
            <w:pPr>
              <w:spacing w:line="240" w:lineRule="exact"/>
              <w:rPr>
                <w:rFonts w:ascii="楷体_GB2312" w:eastAsia="楷体_GB2312"/>
                <w:b/>
                <w:color w:val="000000" w:themeColor="text1"/>
                <w:szCs w:val="21"/>
              </w:rPr>
            </w:pP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1"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rPr>
                <w:color w:val="000000" w:themeColor="text1"/>
                <w:sz w:val="20"/>
                <w:szCs w:val="20"/>
              </w:rPr>
            </w:pPr>
            <w:r>
              <w:rPr>
                <w:rFonts w:hint="eastAsia"/>
                <w:b/>
                <w:color w:val="000000" w:themeColor="text1"/>
                <w:sz w:val="20"/>
                <w:szCs w:val="20"/>
              </w:rPr>
              <w:t>(应说明相关证据)：</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300" w:lineRule="exact"/>
              <w:ind w:firstLine="197" w:firstLineChars="98"/>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8"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rPr>
                <w:b/>
                <w:color w:val="000000" w:themeColor="text1"/>
                <w:sz w:val="20"/>
                <w:szCs w:val="20"/>
              </w:rPr>
            </w:pPr>
            <w:r>
              <w:rPr>
                <w:rFonts w:hint="eastAsia"/>
                <w:b/>
                <w:color w:val="000000" w:themeColor="text1"/>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重要环境因素为固废排放和潜在火灾，需要应对的风险和机遇相关的过程为施工过程，建立了控制过程的识别、策划控制程序，控制措施实施有效性（包括组织自身的污染预防控制及对相关方的控制）；组织在运行策划时，基于产品生命周期的思维，识别了整个过程的环境影响。具体控制措施，包括：固废的控制、潜在火灾的应急预案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8. OHS 组织对不可接受风险实施控制的结果</w:t>
            </w:r>
          </w:p>
          <w:p>
            <w:pPr>
              <w:tabs>
                <w:tab w:val="left" w:pos="2552"/>
              </w:tabs>
              <w:spacing w:line="360" w:lineRule="exact"/>
              <w:ind w:firstLine="315" w:firstLineChars="150"/>
              <w:rPr>
                <w:rFonts w:asciiTheme="minorEastAsia" w:hAnsiTheme="minorEastAsia" w:eastAsiaTheme="minorEastAsia"/>
                <w:bCs/>
                <w:iCs/>
              </w:rPr>
            </w:pPr>
            <w:r>
              <w:rPr>
                <w:rFonts w:hint="eastAsia" w:asciiTheme="minorEastAsia" w:hAnsiTheme="minorEastAsia" w:eastAsiaTheme="minorEastAsia"/>
                <w:bCs/>
                <w:iCs/>
              </w:rPr>
              <w:t>组织建立了危险源识别、评价控制程序，识别评价了危险源、风险相关的过程，评价出了重要危险源（火灾、</w:t>
            </w:r>
            <w:r>
              <w:rPr>
                <w:rFonts w:hint="eastAsia" w:asciiTheme="minorEastAsia" w:hAnsiTheme="minorEastAsia" w:eastAsiaTheme="minorEastAsia"/>
                <w:bCs/>
                <w:iCs/>
                <w:lang w:val="en-US" w:eastAsia="zh-CN"/>
              </w:rPr>
              <w:t>中暑</w:t>
            </w:r>
            <w:r>
              <w:rPr>
                <w:rFonts w:hint="eastAsia" w:asciiTheme="minorEastAsia" w:hAnsiTheme="minorEastAsia" w:eastAsiaTheme="minorEastAsia"/>
                <w:bCs/>
                <w:iCs/>
              </w:rPr>
              <w:t>等），与之相关的过程有客户需求分析、合同签订、销售过程，针对不可接受风险制定了管理方案。控制措施实施有效。</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asciiTheme="minorEastAsia" w:hAnsiTheme="minorEastAsia" w:eastAsiaTheme="minorEastAsia"/>
                <w:b/>
                <w:color w:val="000000" w:themeColor="text1"/>
                <w:spacing w:val="-4"/>
                <w:sz w:val="20"/>
                <w:szCs w:val="20"/>
              </w:rPr>
            </w:pPr>
            <w:r>
              <w:rPr>
                <w:rFonts w:hint="eastAsia" w:asciiTheme="minorEastAsia" w:hAnsiTheme="minorEastAsia" w:eastAsiaTheme="minorEastAsia"/>
                <w:bCs/>
                <w:iCs/>
              </w:rPr>
              <w:t>组织识别了紧急情况，应急准备和响应为潜在火灾，识别合理、有效。应急物资配备有灭火器和消防栓，编制有应急预案，并组织了演练</w:t>
            </w:r>
            <w:r>
              <w:rPr>
                <w:rFonts w:hint="eastAsia" w:asciiTheme="minorEastAsia" w:hAnsiTheme="minorEastAsia" w:eastAsiaTheme="minorEastAsia"/>
                <w:bCs/>
                <w:iCs/>
                <w:color w:val="auto"/>
              </w:rPr>
              <w:t>，</w:t>
            </w:r>
            <w:r>
              <w:rPr>
                <w:rFonts w:hint="eastAsia" w:asciiTheme="minorEastAsia" w:hAnsiTheme="minorEastAsia" w:eastAsiaTheme="minorEastAsia"/>
                <w:bCs/>
                <w:iCs/>
                <w:color w:val="auto"/>
                <w:lang w:eastAsia="zh-CN"/>
              </w:rPr>
              <w:t>并</w:t>
            </w:r>
            <w:r>
              <w:rPr>
                <w:rFonts w:hint="eastAsia" w:asciiTheme="minorEastAsia" w:hAnsiTheme="minorEastAsia" w:eastAsiaTheme="minorEastAsia"/>
                <w:bCs/>
                <w:iCs/>
                <w:color w:val="auto"/>
              </w:rPr>
              <w:t>对应急预案进行了评价。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10. 对特种设备的维护; （适用时）</w:t>
            </w:r>
          </w:p>
          <w:p>
            <w:pPr>
              <w:spacing w:line="240" w:lineRule="exact"/>
              <w:rPr>
                <w:b/>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sz w:val="20"/>
                <w:szCs w:val="20"/>
              </w:rPr>
            </w:pPr>
            <w:r>
              <w:rPr>
                <w:rFonts w:hint="eastAsia"/>
                <w:b/>
                <w:sz w:val="20"/>
                <w:szCs w:val="20"/>
              </w:rPr>
              <w:t>11 .对危险化学品销售、使用、储存、运输处置，规定的执行力度(必要时); （适用时）</w:t>
            </w:r>
          </w:p>
          <w:p>
            <w:pPr>
              <w:spacing w:line="240" w:lineRule="exact"/>
              <w:rPr>
                <w:sz w:val="20"/>
                <w:szCs w:val="20"/>
              </w:rPr>
            </w:pPr>
            <w:r>
              <w:rPr>
                <w:rFonts w:hint="eastAsia"/>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105" w:firstLineChars="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通</w:t>
            </w:r>
            <w:r>
              <w:rPr>
                <w:rFonts w:hint="eastAsia" w:ascii="宋体" w:hAnsi="宋体" w:cs="宋体"/>
                <w:szCs w:val="21"/>
              </w:rPr>
              <w:t>过20</w:t>
            </w:r>
            <w:r>
              <w:rPr>
                <w:rFonts w:hint="eastAsia" w:ascii="宋体" w:hAnsi="宋体" w:cs="宋体"/>
                <w:szCs w:val="21"/>
                <w:lang w:val="en-US" w:eastAsia="zh-CN"/>
              </w:rPr>
              <w:t>21</w:t>
            </w:r>
            <w:r>
              <w:rPr>
                <w:rFonts w:hint="eastAsia" w:ascii="宋体" w:hAnsi="宋体" w:cs="宋体"/>
                <w:szCs w:val="21"/>
              </w:rPr>
              <w:t>年</w:t>
            </w:r>
            <w:r>
              <w:rPr>
                <w:rFonts w:hint="eastAsia" w:ascii="宋体" w:hAnsi="宋体" w:cs="宋体"/>
                <w:szCs w:val="21"/>
                <w:lang w:val="en-US" w:eastAsia="zh-CN"/>
              </w:rPr>
              <w:t>1</w:t>
            </w:r>
            <w:r>
              <w:rPr>
                <w:rFonts w:hint="eastAsia" w:ascii="宋体" w:hAnsi="宋体" w:cs="宋体"/>
                <w:szCs w:val="21"/>
              </w:rPr>
              <w:t>月-202</w:t>
            </w:r>
            <w:r>
              <w:rPr>
                <w:rFonts w:hint="eastAsia" w:ascii="宋体" w:hAnsi="宋体" w:cs="宋体"/>
                <w:szCs w:val="21"/>
                <w:lang w:val="en-US" w:eastAsia="zh-CN"/>
              </w:rPr>
              <w:t>1</w:t>
            </w:r>
            <w:r>
              <w:rPr>
                <w:rFonts w:hint="eastAsia" w:ascii="宋体" w:hAnsi="宋体" w:cs="宋体"/>
                <w:szCs w:val="21"/>
              </w:rPr>
              <w:t>年</w:t>
            </w:r>
            <w:r>
              <w:rPr>
                <w:rFonts w:hint="eastAsia" w:ascii="宋体" w:hAnsi="宋体" w:cs="宋体"/>
                <w:szCs w:val="21"/>
                <w:lang w:val="en-US" w:eastAsia="zh-CN"/>
              </w:rPr>
              <w:t>5</w:t>
            </w:r>
            <w:r>
              <w:rPr>
                <w:rFonts w:hint="eastAsia" w:ascii="宋体" w:hAnsi="宋体" w:cs="宋体"/>
                <w:szCs w:val="21"/>
              </w:rPr>
              <w:t>月</w:t>
            </w:r>
            <w:r>
              <w:rPr>
                <w:rFonts w:hint="eastAsia" w:ascii="宋体" w:hAnsi="宋体" w:cs="宋体"/>
                <w:color w:val="000000"/>
                <w:szCs w:val="21"/>
              </w:rPr>
              <w:t>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3. 内审（包括内审策划审核方案中考虑拟审核的过程和区域的状况和重要性）</w:t>
            </w:r>
          </w:p>
          <w:p>
            <w:pPr>
              <w:tabs>
                <w:tab w:val="right" w:pos="9332"/>
              </w:tabs>
              <w:spacing w:line="440" w:lineRule="exact"/>
              <w:rPr>
                <w:b/>
                <w:color w:val="FF0000"/>
                <w:sz w:val="20"/>
                <w:szCs w:val="20"/>
              </w:rPr>
            </w:pPr>
            <w:r>
              <w:rPr>
                <w:rFonts w:hint="eastAsia" w:ascii="宋体" w:hAnsi="宋体"/>
                <w:szCs w:val="21"/>
              </w:rPr>
              <w:t>建立有《内部审核控制程序》，规定了内审频次一年一次，内审时间：202</w:t>
            </w:r>
            <w:r>
              <w:rPr>
                <w:rFonts w:hint="eastAsia" w:ascii="宋体" w:hAnsi="宋体"/>
                <w:szCs w:val="21"/>
                <w:lang w:val="en-US" w:eastAsia="zh-CN"/>
              </w:rPr>
              <w:t>1</w:t>
            </w:r>
            <w:r>
              <w:rPr>
                <w:rFonts w:hint="eastAsia" w:ascii="宋体" w:hAnsi="宋体"/>
                <w:szCs w:val="21"/>
              </w:rPr>
              <w:t>年</w:t>
            </w:r>
            <w:r>
              <w:rPr>
                <w:rFonts w:hint="eastAsia" w:ascii="宋体" w:hAnsi="宋体"/>
                <w:szCs w:val="21"/>
                <w:lang w:val="en-US" w:eastAsia="zh-CN"/>
              </w:rPr>
              <w:t>5</w:t>
            </w:r>
            <w:r>
              <w:rPr>
                <w:rFonts w:hint="eastAsia" w:ascii="宋体" w:hAnsi="宋体"/>
                <w:szCs w:val="21"/>
              </w:rPr>
              <w:t>月</w:t>
            </w:r>
            <w:r>
              <w:rPr>
                <w:rFonts w:hint="eastAsia" w:ascii="宋体" w:hAnsi="宋体"/>
                <w:szCs w:val="21"/>
                <w:lang w:val="en-US" w:eastAsia="zh-CN"/>
              </w:rPr>
              <w:t>20</w:t>
            </w:r>
            <w:r>
              <w:rPr>
                <w:rFonts w:hint="eastAsia" w:ascii="宋体" w:hAnsi="宋体"/>
                <w:szCs w:val="21"/>
              </w:rPr>
              <w:t>日，拟定了审核实施表，明确了内审范围，内审人员经培训合格上岗，能力满足要求，未出现审核本部门情况，内审不符合项</w:t>
            </w:r>
            <w:r>
              <w:rPr>
                <w:rFonts w:hint="eastAsia" w:ascii="宋体" w:hAnsi="宋体"/>
                <w:szCs w:val="21"/>
                <w:lang w:val="en-US" w:eastAsia="zh-CN"/>
              </w:rPr>
              <w:t>2</w:t>
            </w:r>
            <w:r>
              <w:rPr>
                <w:rFonts w:hint="eastAsia" w:ascii="宋体" w:hAnsi="宋体"/>
                <w:szCs w:val="21"/>
              </w:rPr>
              <w:t>项，涉及</w:t>
            </w:r>
            <w:r>
              <w:rPr>
                <w:rFonts w:hint="eastAsia" w:ascii="宋体" w:hAnsi="宋体"/>
                <w:szCs w:val="21"/>
                <w:lang w:val="en-US" w:eastAsia="zh-CN"/>
              </w:rPr>
              <w:t>供销部E/S5.3条款“</w:t>
            </w:r>
            <w:r>
              <w:rPr>
                <w:rFonts w:hint="eastAsia" w:ascii="宋体" w:hAnsi="宋体"/>
                <w:szCs w:val="21"/>
              </w:rPr>
              <w:t>抽查主管人员,不熟悉环境职责</w:t>
            </w:r>
            <w:r>
              <w:rPr>
                <w:rFonts w:hint="eastAsia" w:ascii="宋体" w:hAnsi="宋体"/>
                <w:szCs w:val="21"/>
                <w:lang w:val="en-US" w:eastAsia="zh-CN"/>
              </w:rPr>
              <w:t>”行政</w:t>
            </w:r>
            <w:r>
              <w:rPr>
                <w:rFonts w:hint="eastAsia" w:ascii="宋体" w:hAnsi="宋体"/>
                <w:szCs w:val="21"/>
                <w:lang w:eastAsia="zh-CN"/>
              </w:rPr>
              <w:t>部</w:t>
            </w:r>
            <w:r>
              <w:rPr>
                <w:rFonts w:hint="eastAsia" w:ascii="宋体" w:hAnsi="宋体"/>
                <w:szCs w:val="21"/>
              </w:rPr>
              <w:t>E</w:t>
            </w:r>
            <w:r>
              <w:rPr>
                <w:rFonts w:hint="eastAsia" w:ascii="宋体" w:hAnsi="宋体"/>
                <w:szCs w:val="21"/>
                <w:lang w:val="en-US" w:eastAsia="zh-CN"/>
              </w:rPr>
              <w:t>/</w:t>
            </w:r>
            <w:r>
              <w:rPr>
                <w:rFonts w:hint="eastAsia" w:ascii="宋体" w:hAnsi="宋体"/>
                <w:szCs w:val="21"/>
              </w:rPr>
              <w:t>S</w:t>
            </w:r>
            <w:r>
              <w:rPr>
                <w:rFonts w:hint="eastAsia" w:ascii="宋体" w:hAnsi="宋体"/>
                <w:szCs w:val="21"/>
                <w:lang w:val="en-US" w:eastAsia="zh-CN"/>
              </w:rPr>
              <w:t>6.2</w:t>
            </w:r>
            <w:r>
              <w:rPr>
                <w:rFonts w:hint="eastAsia" w:ascii="宋体" w:hAnsi="宋体"/>
                <w:szCs w:val="21"/>
              </w:rPr>
              <w:t>条款</w:t>
            </w:r>
            <w:r>
              <w:rPr>
                <w:rFonts w:hint="eastAsia" w:ascii="宋体" w:hAnsi="宋体"/>
                <w:szCs w:val="21"/>
                <w:lang w:eastAsia="zh-CN"/>
              </w:rPr>
              <w:t>“</w:t>
            </w:r>
            <w:r>
              <w:rPr>
                <w:rFonts w:hint="eastAsia" w:ascii="宋体" w:hAnsi="宋体"/>
                <w:szCs w:val="21"/>
              </w:rPr>
              <w:t>不能提供本部门环境目标指标策划证据</w:t>
            </w:r>
            <w:r>
              <w:rPr>
                <w:rFonts w:hint="eastAsia" w:ascii="宋体" w:hAnsi="宋体"/>
                <w:szCs w:val="21"/>
                <w:lang w:eastAsia="zh-CN"/>
              </w:rPr>
              <w:t>”</w:t>
            </w:r>
            <w:r>
              <w:rPr>
                <w:rFonts w:hint="eastAsia" w:ascii="宋体" w:hAnsi="宋体"/>
                <w:szCs w:val="21"/>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jc w:val="center"/>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rPr>
                <w:b/>
                <w:color w:val="000000" w:themeColor="text1"/>
                <w:sz w:val="20"/>
                <w:szCs w:val="20"/>
              </w:rPr>
            </w:pPr>
            <w:r>
              <w:rPr>
                <w:rFonts w:hint="eastAsia" w:ascii="宋体" w:hAnsi="宋体" w:cs="宋体"/>
                <w:szCs w:val="21"/>
              </w:rPr>
              <w:t>管理评审频次为一年一次、本次管理评审</w:t>
            </w:r>
            <w:r>
              <w:rPr>
                <w:rFonts w:hint="eastAsia" w:ascii="宋体" w:hAnsi="宋体" w:cs="宋体"/>
                <w:color w:val="auto"/>
                <w:szCs w:val="21"/>
              </w:rPr>
              <w:t>于</w:t>
            </w:r>
            <w:r>
              <w:rPr>
                <w:rFonts w:hint="eastAsia" w:ascii="宋体" w:hAnsi="宋体"/>
                <w:color w:val="auto"/>
                <w:szCs w:val="21"/>
              </w:rPr>
              <w:t>202</w:t>
            </w:r>
            <w:r>
              <w:rPr>
                <w:rFonts w:hint="eastAsia" w:ascii="宋体" w:hAnsi="宋体"/>
                <w:color w:val="auto"/>
                <w:szCs w:val="21"/>
                <w:lang w:val="en-US" w:eastAsia="zh-CN"/>
              </w:rPr>
              <w:t>1</w:t>
            </w:r>
            <w:r>
              <w:rPr>
                <w:rFonts w:hint="eastAsia" w:ascii="宋体" w:hAnsi="宋体"/>
                <w:color w:val="auto"/>
                <w:szCs w:val="21"/>
              </w:rPr>
              <w:t>年</w:t>
            </w:r>
            <w:r>
              <w:rPr>
                <w:rFonts w:hint="eastAsia" w:ascii="宋体" w:hAnsi="宋体"/>
                <w:color w:val="auto"/>
                <w:szCs w:val="21"/>
                <w:lang w:val="en-US" w:eastAsia="zh-CN"/>
              </w:rPr>
              <w:t>5</w:t>
            </w:r>
            <w:r>
              <w:rPr>
                <w:rFonts w:hint="eastAsia" w:ascii="宋体" w:hAnsi="宋体"/>
                <w:color w:val="auto"/>
                <w:szCs w:val="21"/>
              </w:rPr>
              <w:t>月</w:t>
            </w:r>
            <w:r>
              <w:rPr>
                <w:rFonts w:hint="eastAsia" w:ascii="宋体" w:hAnsi="宋体"/>
                <w:color w:val="auto"/>
                <w:szCs w:val="21"/>
                <w:lang w:val="en-US" w:eastAsia="zh-CN"/>
              </w:rPr>
              <w:t>30</w:t>
            </w:r>
            <w:r>
              <w:rPr>
                <w:rFonts w:hint="eastAsia" w:ascii="宋体" w:hAnsi="宋体"/>
                <w:color w:val="auto"/>
                <w:szCs w:val="21"/>
              </w:rPr>
              <w:t>日</w:t>
            </w:r>
            <w:r>
              <w:rPr>
                <w:rFonts w:hint="eastAsia" w:ascii="宋体" w:hAnsi="宋体" w:cs="宋体"/>
                <w:color w:val="auto"/>
                <w:szCs w:val="21"/>
              </w:rPr>
              <w:t>由总经理主持</w:t>
            </w:r>
            <w:r>
              <w:rPr>
                <w:rFonts w:hint="eastAsia" w:ascii="宋体" w:hAnsi="宋体" w:cs="宋体"/>
                <w:szCs w:val="21"/>
              </w:rPr>
              <w:t>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4"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240" w:lineRule="exact"/>
              <w:rPr>
                <w:b/>
                <w:sz w:val="20"/>
                <w:szCs w:val="20"/>
              </w:rPr>
            </w:pPr>
            <w:r>
              <w:rPr>
                <w:rFonts w:hint="eastAsia"/>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73" w:hRule="atLeast"/>
          <w:jc w:val="center"/>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b/>
                <w:sz w:val="20"/>
                <w:szCs w:val="20"/>
              </w:rPr>
            </w:pPr>
            <w:r>
              <w:rPr>
                <w:rFonts w:hint="eastAsia"/>
                <w:b/>
                <w:sz w:val="20"/>
                <w:szCs w:val="20"/>
              </w:rPr>
              <w:t>暂无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b/>
                <w:sz w:val="20"/>
                <w:szCs w:val="20"/>
              </w:rPr>
            </w:pPr>
            <w:r>
              <w:rPr>
                <w:rFonts w:hint="eastAsia"/>
                <w:b/>
                <w:sz w:val="20"/>
                <w:szCs w:val="20"/>
              </w:rPr>
              <w:t>9. 其他能够标明组织绩效、信誉的证据/信息：</w:t>
            </w:r>
          </w:p>
          <w:p>
            <w:pPr>
              <w:widowControl/>
              <w:spacing w:line="240" w:lineRule="exact"/>
              <w:rPr>
                <w:b/>
                <w:color w:val="FF0000"/>
                <w:sz w:val="20"/>
                <w:szCs w:val="20"/>
              </w:rPr>
            </w:pPr>
            <w:r>
              <w:rPr>
                <w:rFonts w:hint="eastAsia"/>
                <w:b/>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3. 一阶段提出问题的整改情况?</w:t>
            </w:r>
          </w:p>
          <w:p>
            <w:pPr>
              <w:spacing w:line="240" w:lineRule="exact"/>
              <w:rPr>
                <w:rFonts w:hint="default" w:eastAsia="宋体"/>
                <w:b/>
                <w:color w:val="000000" w:themeColor="text1"/>
                <w:spacing w:val="-20"/>
                <w:sz w:val="20"/>
                <w:szCs w:val="20"/>
                <w:lang w:val="en-US" w:eastAsia="zh-CN"/>
              </w:rPr>
            </w:pPr>
            <w:r>
              <w:rPr>
                <w:rFonts w:hint="eastAsia"/>
                <w:b/>
                <w:color w:val="000000" w:themeColor="text1"/>
                <w:spacing w:val="-20"/>
                <w:sz w:val="20"/>
                <w:szCs w:val="20"/>
                <w:lang w:val="en-US" w:eastAsia="zh-CN"/>
              </w:rPr>
              <w:t>一阶段无问题整改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6"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highlight w:val="none"/>
        </w:rPr>
      </w:pPr>
      <w:r>
        <w:rPr>
          <w:rFonts w:hint="eastAsia"/>
          <w:b/>
          <w:highlight w:val="none"/>
        </w:rPr>
        <w:t>1. 本次审核共开具不符合项报告1项；其中</w:t>
      </w:r>
      <w:r>
        <w:rPr>
          <w:b/>
          <w:highlight w:val="none"/>
        </w:rPr>
        <w:pict>
          <v:line id="直接连接符 1" o:spid="_x0000_s2052" o:spt="20" style="position:absolute;left:0pt;margin-left:210pt;margin-top:16.2pt;height:0pt;width:0pt;z-index:251663360;mso-width-relative:page;mso-height-relative:page;" coordsize="21600,21600" o:allowincell="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v:path arrowok="t"/>
            <v:fill focussize="0,0"/>
            <v:stroke/>
            <v:imagedata o:title=""/>
            <o:lock v:ext="edit"/>
          </v:line>
        </w:pict>
      </w:r>
      <w:r>
        <w:rPr>
          <w:rFonts w:hint="eastAsia"/>
          <w:b/>
          <w:highlight w:val="none"/>
        </w:rPr>
        <w:t>严重不符合0项，一般不符合 1项，观察项0项，分布在部门</w:t>
      </w:r>
      <w:r>
        <w:rPr>
          <w:rFonts w:hint="eastAsia"/>
          <w:b/>
          <w:highlight w:val="none"/>
          <w:lang w:eastAsia="zh-CN"/>
        </w:rPr>
        <w:t>行政部</w:t>
      </w:r>
      <w:r>
        <w:rPr>
          <w:rFonts w:hint="eastAsia"/>
          <w:b/>
          <w:highlight w:val="none"/>
        </w:rPr>
        <w:t>E/S</w:t>
      </w:r>
      <w:r>
        <w:rPr>
          <w:rFonts w:hint="eastAsia"/>
          <w:b/>
          <w:highlight w:val="none"/>
          <w:lang w:val="en-US" w:eastAsia="zh-CN"/>
        </w:rPr>
        <w:t>8.2</w:t>
      </w:r>
      <w:r>
        <w:rPr>
          <w:rFonts w:hint="eastAsia"/>
          <w:b/>
          <w:highlight w:val="none"/>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可能影响本次审核结论可靠性的因素：无</w:t>
      </w:r>
    </w:p>
    <w:tbl>
      <w:tblPr>
        <w:tblStyle w:val="8"/>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37" w:leftChars="-337" w:hanging="571" w:hangingChars="271"/>
        <w:rPr>
          <w:rFonts w:ascii="宋体" w:hAnsi="宋体"/>
          <w:b/>
          <w:color w:val="000000" w:themeColor="text1"/>
          <w:szCs w:val="21"/>
        </w:rPr>
      </w:pPr>
      <w:r>
        <w:rPr>
          <w:rFonts w:hint="eastAsia"/>
          <w:b/>
          <w:color w:val="000000" w:themeColor="text1"/>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7"/>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1. □</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pacing w:val="-10"/>
                <w:sz w:val="22"/>
                <w:szCs w:val="22"/>
              </w:rPr>
              <w:t>GJB   ■</w:t>
            </w:r>
            <w:r>
              <w:rPr>
                <w:rFonts w:hint="eastAsia"/>
                <w:b/>
                <w:color w:val="000000" w:themeColor="text1"/>
                <w:sz w:val="22"/>
                <w:szCs w:val="22"/>
              </w:rPr>
              <w:t>EMS ■OHSMS的适宜性、充分性、运行有效性，自我完善机制等。管理体系满足适用要求和实现预期结果的能力。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 w:val="22"/>
                <w:szCs w:val="22"/>
              </w:rPr>
              <w:t xml:space="preserve">□GJB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3"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sz w:val="26"/>
                <w:szCs w:val="26"/>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hint="eastAsia" w:ascii="宋体" w:hAnsi="宋体" w:eastAsia="宋体" w:cs="Times New Roman"/>
                <w:b/>
                <w:color w:val="000000" w:themeColor="text1"/>
                <w:lang w:eastAsia="zh-CN"/>
              </w:rPr>
            </w:pPr>
            <w:r>
              <w:rPr>
                <w:rFonts w:hint="eastAsia" w:ascii="宋体" w:hAnsi="宋体" w:eastAsia="宋体" w:cs="Times New Roman"/>
                <w:b/>
                <w:color w:val="000000" w:themeColor="text1"/>
              </w:rPr>
              <w:t>E</w:t>
            </w:r>
            <w:r>
              <w:rPr>
                <w:rFonts w:hint="eastAsia" w:ascii="宋体" w:hAnsi="宋体" w:eastAsia="宋体" w:cs="Times New Roman"/>
                <w:b/>
                <w:color w:val="000000" w:themeColor="text1"/>
                <w:lang w:val="en-US" w:eastAsia="zh-CN"/>
              </w:rPr>
              <w:t>MS</w:t>
            </w:r>
            <w:r>
              <w:rPr>
                <w:rFonts w:hint="eastAsia" w:ascii="宋体" w:hAnsi="宋体" w:eastAsia="宋体" w:cs="Times New Roman"/>
                <w:b/>
                <w:color w:val="000000" w:themeColor="text1"/>
              </w:rPr>
              <w:t>：仪器仪表、机电产品、电子产品及元器件的销售，机械设备的设计所涉及场所的相关环境管理活动</w:t>
            </w:r>
            <w:r>
              <w:rPr>
                <w:rFonts w:hint="eastAsia" w:ascii="宋体" w:hAnsi="宋体" w:eastAsia="宋体" w:cs="Times New Roman"/>
                <w:b/>
                <w:color w:val="000000" w:themeColor="text1"/>
                <w:lang w:eastAsia="zh-CN"/>
              </w:rPr>
              <w:t>。</w:t>
            </w:r>
          </w:p>
          <w:p>
            <w:pPr>
              <w:spacing w:line="320" w:lineRule="exact"/>
              <w:rPr>
                <w:b/>
                <w:color w:val="000000" w:themeColor="text1"/>
                <w:spacing w:val="-10"/>
                <w:sz w:val="22"/>
                <w:szCs w:val="22"/>
              </w:rPr>
            </w:pPr>
            <w:r>
              <w:rPr>
                <w:rFonts w:hint="eastAsia" w:ascii="宋体" w:hAnsi="宋体" w:eastAsia="宋体" w:cs="Times New Roman"/>
                <w:b/>
                <w:color w:val="000000" w:themeColor="text1"/>
              </w:rPr>
              <w:t>O</w:t>
            </w:r>
            <w:r>
              <w:rPr>
                <w:rFonts w:hint="eastAsia" w:ascii="宋体" w:hAnsi="宋体" w:eastAsia="宋体" w:cs="Times New Roman"/>
                <w:b/>
                <w:color w:val="000000" w:themeColor="text1"/>
                <w:lang w:val="en-US" w:eastAsia="zh-CN"/>
              </w:rPr>
              <w:t>HSMS</w:t>
            </w:r>
            <w:r>
              <w:rPr>
                <w:rFonts w:hint="eastAsia" w:ascii="宋体" w:hAnsi="宋体" w:eastAsia="宋体" w:cs="Times New Roman"/>
                <w:b/>
                <w:color w:val="000000" w:themeColor="text1"/>
              </w:rPr>
              <w:t>：仪器仪表、机电产品、电子产品及元器件的销售，机械设备的设计所涉及场所的相关职业健康安全管理活动</w:t>
            </w:r>
            <w:r>
              <w:rPr>
                <w:rFonts w:hint="eastAsia" w:ascii="宋体" w:hAnsi="宋体" w:eastAsia="宋体" w:cs="Times New Roman"/>
                <w:b/>
                <w:color w:val="000000" w:themeColor="text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1"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EMS   ■OHSMS)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6"/>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一般不符合报告在30天/严重不符合在天针对不符合原因制定并实施纠正措施。验证方式见不符合项报告。</w:t>
      </w:r>
    </w:p>
    <w:p>
      <w:pPr>
        <w:spacing w:beforeLines="50" w:afterLines="50"/>
        <w:ind w:left="1" w:leftChars="-405" w:hanging="851" w:hangingChars="326"/>
        <w:rPr>
          <w:rFonts w:hint="eastAsia" w:eastAsia="宋体"/>
          <w:color w:val="000000" w:themeColor="text1"/>
          <w:sz w:val="28"/>
          <w:szCs w:val="28"/>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w:t>
      </w:r>
      <w:r>
        <w:rPr>
          <w:rFonts w:hint="eastAsia" w:ascii="Times New Roman" w:hAnsi="Times New Roman" w:eastAsia="宋体" w:cs="Times New Roman"/>
          <w:b/>
          <w:color w:val="000000" w:themeColor="text1"/>
          <w:sz w:val="26"/>
          <w:szCs w:val="26"/>
        </w:rPr>
        <w:t xml:space="preserve">任何影响审核方案的重要事项： </w:t>
      </w:r>
      <w:r>
        <w:rPr>
          <w:rFonts w:hint="eastAsia" w:ascii="Times New Roman" w:hAnsi="Times New Roman" w:eastAsia="宋体" w:cs="Times New Roman"/>
          <w:b/>
          <w:color w:val="000000" w:themeColor="text1"/>
          <w:sz w:val="26"/>
          <w:szCs w:val="26"/>
          <w:lang w:val="en-US" w:eastAsia="zh-CN"/>
        </w:rPr>
        <w:t>无</w:t>
      </w:r>
    </w:p>
    <w:p>
      <w:pPr>
        <w:snapToGrid w:val="0"/>
        <w:rPr>
          <w:b/>
          <w:bCs/>
          <w:color w:val="000000" w:themeColor="text1"/>
          <w:szCs w:val="28"/>
          <w:u w:val="single"/>
        </w:rPr>
      </w:pPr>
    </w:p>
    <w:p>
      <w:pPr>
        <w:snapToGrid w:val="0"/>
        <w:spacing w:afterLines="50" w:line="360" w:lineRule="auto"/>
        <w:ind w:left="-133" w:leftChars="-405" w:hanging="717" w:hangingChars="326"/>
        <w:rPr>
          <w:b/>
          <w:color w:val="000000" w:themeColor="text1"/>
          <w:sz w:val="16"/>
          <w:szCs w:val="16"/>
        </w:rPr>
      </w:pPr>
      <w:r>
        <w:rPr>
          <w:sz w:val="22"/>
          <w:szCs w:val="22"/>
        </w:rPr>
        <w:drawing>
          <wp:anchor distT="0" distB="0" distL="0" distR="0" simplePos="0" relativeHeight="251664384" behindDoc="0" locked="0" layoutInCell="1" allowOverlap="1">
            <wp:simplePos x="0" y="0"/>
            <wp:positionH relativeFrom="column">
              <wp:posOffset>1493520</wp:posOffset>
            </wp:positionH>
            <wp:positionV relativeFrom="paragraph">
              <wp:posOffset>280035</wp:posOffset>
            </wp:positionV>
            <wp:extent cx="746760" cy="464820"/>
            <wp:effectExtent l="0" t="0" r="0" b="7620"/>
            <wp:wrapNone/>
            <wp:docPr id="3"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新文档 2020-01-09 10"/>
                    <pic:cNvPicPr>
                      <a:picLocks noChangeAspect="1" noChangeArrowheads="1"/>
                    </pic:cNvPicPr>
                  </pic:nvPicPr>
                  <pic:blipFill>
                    <a:blip r:embed="rId6"/>
                    <a:srcRect/>
                    <a:stretch>
                      <a:fillRect/>
                    </a:stretch>
                  </pic:blipFill>
                  <pic:spPr>
                    <a:xfrm>
                      <a:off x="0" y="0"/>
                      <a:ext cx="746760" cy="464820"/>
                    </a:xfrm>
                    <a:prstGeom prst="rect">
                      <a:avLst/>
                    </a:prstGeom>
                    <a:noFill/>
                    <a:ln w="9525">
                      <a:noFill/>
                      <a:miter lim="800000"/>
                      <a:headEnd/>
                      <a:tailEnd/>
                    </a:ln>
                  </pic:spPr>
                </pic:pic>
              </a:graphicData>
            </a:graphic>
          </wp:anchor>
        </w:drawing>
      </w:r>
      <w:r>
        <w:rPr>
          <w:rFonts w:hint="eastAsia"/>
          <w:b/>
          <w:color w:val="000000" w:themeColor="text1"/>
          <w:sz w:val="26"/>
          <w:szCs w:val="26"/>
        </w:rPr>
        <w:t>十四、审核组签字</w:t>
      </w:r>
    </w:p>
    <w:p>
      <w:pPr>
        <w:snapToGrid w:val="0"/>
        <w:spacing w:afterLines="50" w:line="360" w:lineRule="auto"/>
        <w:ind w:left="-10" w:leftChars="-32" w:hanging="57" w:hangingChars="26"/>
        <w:rPr>
          <w:b/>
          <w:color w:val="000000" w:themeColor="text1"/>
          <w:sz w:val="26"/>
          <w:szCs w:val="26"/>
        </w:rPr>
      </w:pPr>
      <w:r>
        <w:rPr>
          <w:rFonts w:hint="eastAsia" w:eastAsia="宋体"/>
          <w:sz w:val="22"/>
          <w:szCs w:val="22"/>
          <w:lang w:eastAsia="zh-CN"/>
        </w:rPr>
        <w:drawing>
          <wp:anchor distT="0" distB="0" distL="114300" distR="114300" simplePos="0" relativeHeight="251666432" behindDoc="0" locked="0" layoutInCell="1" allowOverlap="1">
            <wp:simplePos x="0" y="0"/>
            <wp:positionH relativeFrom="column">
              <wp:posOffset>1611630</wp:posOffset>
            </wp:positionH>
            <wp:positionV relativeFrom="paragraph">
              <wp:posOffset>401955</wp:posOffset>
            </wp:positionV>
            <wp:extent cx="645160" cy="321945"/>
            <wp:effectExtent l="0" t="0" r="10160" b="13335"/>
            <wp:wrapNone/>
            <wp:docPr id="14" name="图片 14" descr="cd23edb0d814701504dd7deb97d79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d23edb0d814701504dd7deb97d797b"/>
                    <pic:cNvPicPr>
                      <a:picLocks noChangeAspect="1"/>
                    </pic:cNvPicPr>
                  </pic:nvPicPr>
                  <pic:blipFill>
                    <a:blip r:embed="rId7"/>
                    <a:srcRect l="10377" t="24118" r="4335" b="17353"/>
                    <a:stretch>
                      <a:fillRect/>
                    </a:stretch>
                  </pic:blipFill>
                  <pic:spPr>
                    <a:xfrm>
                      <a:off x="0" y="0"/>
                      <a:ext cx="645160" cy="321945"/>
                    </a:xfrm>
                    <a:prstGeom prst="rect">
                      <a:avLst/>
                    </a:prstGeom>
                  </pic:spPr>
                </pic:pic>
              </a:graphicData>
            </a:graphic>
          </wp:anchor>
        </w:drawing>
      </w:r>
      <w:r>
        <w:rPr>
          <w:rFonts w:hint="eastAsia"/>
          <w:b/>
          <w:color w:val="000000" w:themeColor="text1"/>
          <w:sz w:val="26"/>
          <w:szCs w:val="26"/>
        </w:rPr>
        <w:t>审核组组长（签名）：</w:t>
      </w:r>
    </w:p>
    <w:p>
      <w:pPr>
        <w:snapToGrid w:val="0"/>
        <w:spacing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921" w:firstLineChars="1860"/>
        <w:rPr>
          <w:b/>
          <w:color w:val="000000" w:themeColor="text1"/>
          <w:sz w:val="16"/>
          <w:szCs w:val="16"/>
        </w:rPr>
      </w:pPr>
      <w:r>
        <w:rPr>
          <w:rFonts w:hint="eastAsia"/>
          <w:b/>
          <w:color w:val="000000" w:themeColor="text1"/>
        </w:rPr>
        <w:t>日期：202</w:t>
      </w:r>
      <w:r>
        <w:rPr>
          <w:rFonts w:hint="eastAsia"/>
          <w:b/>
          <w:color w:val="000000" w:themeColor="text1"/>
          <w:lang w:val="en-US" w:eastAsia="zh-CN"/>
        </w:rPr>
        <w:t>1</w:t>
      </w:r>
      <w:r>
        <w:rPr>
          <w:rFonts w:hint="eastAsia"/>
          <w:b/>
          <w:color w:val="000000" w:themeColor="text1"/>
        </w:rPr>
        <w:t xml:space="preserve"> </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6</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23</w:t>
      </w:r>
      <w:r>
        <w:rPr>
          <w:rFonts w:hint="eastAsia" w:asciiTheme="minorEastAsia" w:hAnsiTheme="minorEastAsia" w:eastAsiaTheme="minorEastAsia"/>
          <w:b/>
          <w:color w:val="000000" w:themeColor="text1"/>
        </w:rPr>
        <w:t>日</w:t>
      </w:r>
    </w:p>
    <w:p>
      <w:pPr>
        <w:spacing w:beforeLines="50"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Lines="50" w:afterLines="50" w:line="360" w:lineRule="auto"/>
        <w:ind w:leftChars="-202" w:hanging="424" w:hangingChars="201"/>
        <w:rPr>
          <w:b/>
          <w:color w:val="000000" w:themeColor="text1"/>
          <w:sz w:val="26"/>
          <w:szCs w:val="26"/>
          <w:highlight w:val="none"/>
        </w:rPr>
      </w:pPr>
      <w:r>
        <w:rPr>
          <w:rFonts w:hint="eastAsia"/>
          <w:b/>
          <w:bCs/>
          <w:color w:val="000000" w:themeColor="text1"/>
          <w:szCs w:val="21"/>
          <w:highlight w:val="none"/>
        </w:rPr>
        <w:t>1.  审核中发现的</w:t>
      </w:r>
      <w:r>
        <w:rPr>
          <w:rFonts w:hint="eastAsia"/>
          <w:b/>
          <w:color w:val="000000" w:themeColor="text1"/>
          <w:spacing w:val="-10"/>
          <w:szCs w:val="21"/>
          <w:highlight w:val="none"/>
        </w:rPr>
        <w:t>□</w:t>
      </w:r>
      <w:r>
        <w:rPr>
          <w:rFonts w:hint="eastAsia"/>
          <w:b/>
          <w:color w:val="000000" w:themeColor="text1"/>
          <w:szCs w:val="21"/>
          <w:highlight w:val="none"/>
        </w:rPr>
        <w:t>QMS(   )个一般不符合，(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 xml:space="preserve">EMS(  1 )个一般不符合，(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rPr>
      </w:pPr>
      <w:r>
        <w:rPr>
          <w:rFonts w:hint="eastAsia"/>
          <w:b/>
          <w:bCs/>
          <w:color w:val="000000" w:themeColor="text1"/>
          <w:szCs w:val="21"/>
          <w:highlight w:val="none"/>
        </w:rPr>
        <w:t>审核中发现的</w:t>
      </w:r>
      <w:r>
        <w:rPr>
          <w:rFonts w:hint="eastAsia"/>
          <w:b/>
          <w:color w:val="000000" w:themeColor="text1"/>
          <w:spacing w:val="-10"/>
          <w:szCs w:val="21"/>
          <w:highlight w:val="none"/>
        </w:rPr>
        <w:t>■</w:t>
      </w:r>
      <w:r>
        <w:rPr>
          <w:rFonts w:hint="eastAsia"/>
          <w:b/>
          <w:color w:val="000000" w:themeColor="text1"/>
          <w:szCs w:val="21"/>
          <w:highlight w:val="none"/>
        </w:rPr>
        <w:t xml:space="preserve">OHSMS(  1 )个一般不符合，( </w:t>
      </w:r>
      <w:r>
        <w:rPr>
          <w:rFonts w:hint="eastAsia"/>
          <w:b/>
          <w:color w:val="000000" w:themeColor="text1"/>
          <w:szCs w:val="21"/>
          <w:highlight w:val="none"/>
          <w:lang w:val="en-US" w:eastAsia="zh-CN"/>
        </w:rPr>
        <w:t>0</w:t>
      </w:r>
      <w:r>
        <w:rPr>
          <w:rFonts w:hint="eastAsia"/>
          <w:b/>
          <w:color w:val="000000" w:themeColor="text1"/>
          <w:szCs w:val="21"/>
          <w:highlight w:val="none"/>
        </w:rPr>
        <w:t xml:space="preserve"> )个严重不符合，</w:t>
      </w:r>
      <w:r>
        <w:rPr>
          <w:rFonts w:hint="eastAsia"/>
          <w:b/>
          <w:color w:val="000000" w:themeColor="text1"/>
          <w:spacing w:val="-10"/>
          <w:szCs w:val="21"/>
          <w:highlight w:val="none"/>
        </w:rPr>
        <w:t>■</w:t>
      </w:r>
      <w:r>
        <w:rPr>
          <w:rFonts w:hint="eastAsia"/>
          <w:b/>
          <w:color w:val="000000" w:themeColor="text1"/>
          <w:szCs w:val="21"/>
          <w:highlight w:val="none"/>
        </w:rPr>
        <w:t>验证合格</w:t>
      </w:r>
      <w:r>
        <w:rPr>
          <w:rFonts w:hint="eastAsia"/>
          <w:b/>
          <w:color w:val="000000" w:themeColor="text1"/>
          <w:spacing w:val="-10"/>
          <w:szCs w:val="21"/>
          <w:highlight w:val="none"/>
        </w:rPr>
        <w:t>□</w:t>
      </w:r>
      <w:r>
        <w:rPr>
          <w:rFonts w:hint="eastAsia"/>
          <w:b/>
          <w:color w:val="000000" w:themeColor="text1"/>
          <w:szCs w:val="21"/>
          <w:highlight w:val="none"/>
        </w:rPr>
        <w:t>仍有问题</w:t>
      </w:r>
    </w:p>
    <w:p>
      <w:pPr>
        <w:spacing w:line="360" w:lineRule="auto"/>
        <w:rPr>
          <w:b/>
          <w:color w:val="000000" w:themeColor="text1"/>
          <w:szCs w:val="21"/>
          <w:highlight w:val="none"/>
          <w:u w:val="single"/>
        </w:rPr>
      </w:pPr>
      <w:r>
        <w:rPr>
          <w:rFonts w:hint="eastAsia"/>
          <w:b/>
          <w:color w:val="000000" w:themeColor="text1"/>
          <w:szCs w:val="21"/>
          <w:highlight w:val="none"/>
        </w:rPr>
        <w:t>存在问题说明及意见：</w:t>
      </w:r>
    </w:p>
    <w:p>
      <w:pPr>
        <w:spacing w:afterLines="50"/>
        <w:ind w:firstLine="422" w:firstLineChars="200"/>
        <w:rPr>
          <w:b/>
          <w:color w:val="000000" w:themeColor="text1"/>
          <w:szCs w:val="21"/>
          <w:highlight w:val="none"/>
        </w:rPr>
      </w:pPr>
    </w:p>
    <w:p>
      <w:pPr>
        <w:spacing w:afterLines="50"/>
        <w:ind w:leftChars="-202" w:hanging="424" w:hangingChars="201"/>
        <w:rPr>
          <w:rFonts w:ascii="宋体" w:hAnsi="宋体"/>
          <w:b/>
          <w:color w:val="000000" w:themeColor="text1"/>
          <w:szCs w:val="21"/>
          <w:highlight w:val="none"/>
        </w:rPr>
      </w:pPr>
      <w:r>
        <w:rPr>
          <w:rFonts w:hint="eastAsia"/>
          <w:b/>
          <w:color w:val="000000" w:themeColor="text1"/>
          <w:szCs w:val="21"/>
          <w:highlight w:val="none"/>
        </w:rPr>
        <w:t>2. 验证结论</w:t>
      </w:r>
      <w:r>
        <w:rPr>
          <w:rFonts w:hint="eastAsia" w:ascii="宋体" w:hAnsi="宋体"/>
          <w:b/>
          <w:color w:val="000000" w:themeColor="text1"/>
          <w:szCs w:val="21"/>
          <w:highlight w:val="none"/>
        </w:rPr>
        <w:t>:</w:t>
      </w:r>
    </w:p>
    <w:p>
      <w:pPr>
        <w:ind w:firstLine="763" w:firstLineChars="400"/>
        <w:rPr>
          <w:b/>
          <w:color w:val="000000" w:themeColor="text1"/>
          <w:szCs w:val="21"/>
          <w:highlight w:val="none"/>
        </w:rPr>
      </w:pPr>
      <w:r>
        <w:rPr>
          <w:rFonts w:hint="eastAsia"/>
          <w:b/>
          <w:color w:val="000000" w:themeColor="text1"/>
          <w:spacing w:val="-10"/>
          <w:szCs w:val="21"/>
          <w:highlight w:val="none"/>
        </w:rPr>
        <w:t>■</w:t>
      </w:r>
      <w:r>
        <w:rPr>
          <w:rFonts w:hint="eastAsia"/>
          <w:b/>
          <w:color w:val="000000" w:themeColor="text1"/>
          <w:szCs w:val="21"/>
          <w:highlight w:val="none"/>
        </w:rPr>
        <w:t>推荐注册□不推荐注册</w:t>
      </w:r>
      <w:r>
        <w:rPr>
          <w:rFonts w:hint="eastAsia"/>
          <w:b/>
          <w:color w:val="000000" w:themeColor="text1"/>
          <w:spacing w:val="-10"/>
          <w:szCs w:val="21"/>
          <w:highlight w:val="none"/>
        </w:rPr>
        <w:t>□推荐重新认证</w:t>
      </w:r>
      <w:r>
        <w:rPr>
          <w:rFonts w:hint="eastAsia"/>
          <w:b/>
          <w:color w:val="000000" w:themeColor="text1"/>
          <w:szCs w:val="21"/>
          <w:highlight w:val="none"/>
        </w:rPr>
        <w:t>注册（再认证填写）</w:t>
      </w:r>
    </w:p>
    <w:p>
      <w:pPr>
        <w:snapToGrid w:val="0"/>
        <w:spacing w:line="360" w:lineRule="auto"/>
        <w:rPr>
          <w:b/>
          <w:color w:val="000000" w:themeColor="text1"/>
          <w:sz w:val="16"/>
          <w:szCs w:val="16"/>
          <w:highlight w:val="none"/>
        </w:rPr>
      </w:pPr>
      <w:r>
        <w:rPr>
          <w:b/>
          <w:color w:val="000000" w:themeColor="text1"/>
          <w:szCs w:val="21"/>
          <w:highlight w:val="none"/>
        </w:rPr>
        <w:drawing>
          <wp:anchor distT="0" distB="0" distL="0" distR="0" simplePos="0" relativeHeight="251665408" behindDoc="0" locked="0" layoutInCell="1" allowOverlap="1">
            <wp:simplePos x="0" y="0"/>
            <wp:positionH relativeFrom="column">
              <wp:posOffset>719455</wp:posOffset>
            </wp:positionH>
            <wp:positionV relativeFrom="paragraph">
              <wp:posOffset>3810</wp:posOffset>
            </wp:positionV>
            <wp:extent cx="774065" cy="481965"/>
            <wp:effectExtent l="0" t="0" r="3175" b="5715"/>
            <wp:wrapNone/>
            <wp:docPr id="5" name="图片 1" descr="新文档 2020-01-09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新文档 2020-01-09 10"/>
                    <pic:cNvPicPr>
                      <a:picLocks noChangeAspect="1" noChangeArrowheads="1"/>
                    </pic:cNvPicPr>
                  </pic:nvPicPr>
                  <pic:blipFill>
                    <a:blip r:embed="rId6"/>
                    <a:srcRect/>
                    <a:stretch>
                      <a:fillRect/>
                    </a:stretch>
                  </pic:blipFill>
                  <pic:spPr>
                    <a:xfrm>
                      <a:off x="0" y="0"/>
                      <a:ext cx="774065" cy="481965"/>
                    </a:xfrm>
                    <a:prstGeom prst="rect">
                      <a:avLst/>
                    </a:prstGeom>
                    <a:noFill/>
                    <a:ln w="9525">
                      <a:noFill/>
                      <a:miter lim="800000"/>
                      <a:headEnd/>
                      <a:tailEnd/>
                    </a:ln>
                  </pic:spPr>
                </pic:pic>
              </a:graphicData>
            </a:graphic>
          </wp:anchor>
        </w:drawing>
      </w:r>
      <w:r>
        <w:rPr>
          <w:rFonts w:hint="eastAsia"/>
          <w:b/>
          <w:color w:val="000000" w:themeColor="text1"/>
          <w:szCs w:val="21"/>
          <w:highlight w:val="none"/>
        </w:rPr>
        <w:t xml:space="preserve">组长签字:                 </w:t>
      </w:r>
      <w:r>
        <w:rPr>
          <w:rFonts w:hint="eastAsia"/>
          <w:b/>
          <w:color w:val="000000" w:themeColor="text1"/>
          <w:szCs w:val="21"/>
          <w:highlight w:val="none"/>
          <w:lang w:val="en-US" w:eastAsia="zh-CN"/>
        </w:rPr>
        <w:t xml:space="preserve">       </w:t>
      </w:r>
      <w:r>
        <w:rPr>
          <w:rFonts w:hint="eastAsia"/>
          <w:b/>
          <w:color w:val="000000" w:themeColor="text1"/>
          <w:highlight w:val="none"/>
        </w:rPr>
        <w:t>日期：202</w:t>
      </w:r>
      <w:r>
        <w:rPr>
          <w:rFonts w:hint="eastAsia"/>
          <w:b/>
          <w:color w:val="000000" w:themeColor="text1"/>
          <w:highlight w:val="none"/>
          <w:lang w:val="en-US" w:eastAsia="zh-CN"/>
        </w:rPr>
        <w:t>1</w:t>
      </w:r>
      <w:r>
        <w:rPr>
          <w:rFonts w:hint="eastAsia"/>
          <w:b/>
          <w:color w:val="000000" w:themeColor="text1"/>
          <w:highlight w:val="none"/>
        </w:rPr>
        <w:t xml:space="preserve"> </w:t>
      </w:r>
      <w:r>
        <w:rPr>
          <w:rFonts w:hint="eastAsia" w:asciiTheme="minorEastAsia" w:hAnsiTheme="minorEastAsia" w:eastAsiaTheme="minorEastAsia"/>
          <w:b/>
          <w:color w:val="000000" w:themeColor="text1"/>
          <w:highlight w:val="none"/>
        </w:rPr>
        <w:t>年</w:t>
      </w:r>
      <w:r>
        <w:rPr>
          <w:rFonts w:hint="eastAsia" w:asciiTheme="minorEastAsia" w:hAnsiTheme="minorEastAsia" w:eastAsiaTheme="minorEastAsia"/>
          <w:b/>
          <w:color w:val="000000" w:themeColor="text1"/>
          <w:highlight w:val="none"/>
          <w:lang w:val="en-US" w:eastAsia="zh-CN"/>
        </w:rPr>
        <w:t>6</w:t>
      </w:r>
      <w:r>
        <w:rPr>
          <w:rFonts w:hint="eastAsia" w:asciiTheme="minorEastAsia" w:hAnsiTheme="minorEastAsia" w:eastAsiaTheme="minorEastAsia"/>
          <w:b/>
          <w:color w:val="000000" w:themeColor="text1"/>
          <w:highlight w:val="none"/>
        </w:rPr>
        <w:t xml:space="preserve"> 月</w:t>
      </w:r>
      <w:r>
        <w:rPr>
          <w:rFonts w:hint="eastAsia" w:asciiTheme="minorEastAsia" w:hAnsiTheme="minorEastAsia" w:eastAsiaTheme="minorEastAsia"/>
          <w:b/>
          <w:color w:val="000000" w:themeColor="text1"/>
          <w:highlight w:val="none"/>
          <w:lang w:val="en-US" w:eastAsia="zh-CN"/>
        </w:rPr>
        <w:t>25</w:t>
      </w:r>
      <w:r>
        <w:rPr>
          <w:rFonts w:hint="eastAsia" w:asciiTheme="minorEastAsia" w:hAnsiTheme="minorEastAsia" w:eastAsiaTheme="minorEastAsia"/>
          <w:b/>
          <w:color w:val="000000" w:themeColor="text1"/>
          <w:highlight w:val="none"/>
        </w:rPr>
        <w:t>日</w:t>
      </w:r>
      <w:bookmarkStart w:id="23" w:name="_GoBack"/>
      <w:bookmarkEnd w:id="23"/>
    </w:p>
    <w:p>
      <w:pPr>
        <w:spacing w:before="156" w:beforeLines="50" w:after="156" w:afterLines="50"/>
        <w:ind w:left="1" w:leftChars="-405" w:hanging="851" w:hangingChars="326"/>
        <w:rPr>
          <w:rFonts w:hint="eastAsia" w:ascii="Times New Roman" w:hAnsi="Times New Roman" w:eastAsia="宋体" w:cs="Times New Roman"/>
          <w:b/>
          <w:color w:val="000000" w:themeColor="text1"/>
          <w:sz w:val="26"/>
          <w:szCs w:val="26"/>
        </w:rPr>
      </w:pPr>
      <w:r>
        <w:rPr>
          <w:rFonts w:hint="eastAsia" w:ascii="Times New Roman" w:hAnsi="Times New Roman" w:eastAsia="宋体" w:cs="Times New Roman"/>
          <w:b/>
          <w:color w:val="000000" w:themeColor="text1"/>
          <w:sz w:val="26"/>
          <w:szCs w:val="26"/>
        </w:rPr>
        <w:t>十六、与末次会议结论不同处的说明和其他说明：(技术委员会填写)</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bookmarkStart w:id="22"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7"/>
        <w:rFonts w:hint="default"/>
      </w:rPr>
      <w:t>北京国标联合认证有限公司</w:t>
    </w:r>
    <w:r>
      <w:rPr>
        <w:rStyle w:val="17"/>
        <w:rFonts w:hint="default"/>
      </w:rPr>
      <w:tab/>
    </w:r>
    <w:r>
      <w:rPr>
        <w:rStyle w:val="17"/>
        <w:rFonts w:hint="default"/>
      </w:rPr>
      <w:tab/>
    </w:r>
    <w:r>
      <w:rPr>
        <w:rStyle w:val="17"/>
        <w:rFonts w:hint="default"/>
      </w:rPr>
      <w:tab/>
    </w:r>
    <w:bookmarkEnd w:id="22"/>
  </w:p>
  <w:p>
    <w:pPr>
      <w:pStyle w:val="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81D517E"/>
    <w:rsid w:val="4AE97F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3">
    <w:name w:val="Balloon Text"/>
    <w:basedOn w:val="1"/>
    <w:link w:val="15"/>
    <w:semiHidden/>
    <w:unhideWhenUsed/>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basedOn w:val="9"/>
    <w:semiHidden/>
    <w:unhideWhenUsed/>
    <w:qFormat/>
    <w:uiPriority w:val="99"/>
    <w:rPr>
      <w:color w:val="0000FF"/>
      <w:u w:val="single"/>
    </w:rPr>
  </w:style>
  <w:style w:type="paragraph" w:customStyle="1" w:styleId="11">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styleId="12">
    <w:name w:val="List Paragraph"/>
    <w:basedOn w:val="1"/>
    <w:qFormat/>
    <w:uiPriority w:val="34"/>
    <w:pPr>
      <w:ind w:firstLine="420" w:firstLineChars="200"/>
    </w:pPr>
  </w:style>
  <w:style w:type="character" w:customStyle="1" w:styleId="13">
    <w:name w:val="页眉 Char1"/>
    <w:basedOn w:val="9"/>
    <w:link w:val="5"/>
    <w:qFormat/>
    <w:uiPriority w:val="99"/>
    <w:rPr>
      <w:rFonts w:ascii="Times New Roman" w:hAnsi="Times New Roman" w:eastAsia="宋体" w:cs="Times New Roman"/>
      <w:sz w:val="18"/>
      <w:szCs w:val="18"/>
    </w:rPr>
  </w:style>
  <w:style w:type="character" w:customStyle="1" w:styleId="14">
    <w:name w:val="页脚 Char"/>
    <w:basedOn w:val="9"/>
    <w:link w:val="4"/>
    <w:qFormat/>
    <w:uiPriority w:val="99"/>
    <w:rPr>
      <w:rFonts w:ascii="Times New Roman" w:hAnsi="Times New Roman" w:eastAsia="宋体" w:cs="Times New Roman"/>
      <w:sz w:val="18"/>
      <w:szCs w:val="18"/>
    </w:rPr>
  </w:style>
  <w:style w:type="character" w:customStyle="1" w:styleId="15">
    <w:name w:val="批注框文本 Char"/>
    <w:basedOn w:val="9"/>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2</TotalTime>
  <ScaleCrop>false</ScaleCrop>
  <LinksUpToDate>false</LinksUpToDate>
  <CharactersWithSpaces>5057</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2021-06-23T06:10:10Z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C7779BA0D38447408323C84FF38E953F</vt:lpwstr>
  </property>
</Properties>
</file>