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重庆市璧山区渝峰摩托车配件有限公司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Q:19.11.02,29.04.00</w:t>
            </w:r>
          </w:p>
          <w:p>
            <w:pPr>
              <w:spacing w:line="240" w:lineRule="exact"/>
              <w:jc w:val="center"/>
              <w:rPr>
                <w:b/>
                <w:color w:val="000000" w:themeColor="text1"/>
                <w:sz w:val="20"/>
                <w:szCs w:val="20"/>
              </w:rPr>
            </w:pPr>
            <w:r>
              <w:rPr>
                <w:b/>
                <w:color w:val="000000" w:themeColor="text1"/>
                <w:sz w:val="20"/>
                <w:szCs w:val="20"/>
              </w:rPr>
              <w:t>E:19.11.02,29.04.00</w:t>
            </w:r>
          </w:p>
          <w:p>
            <w:pPr>
              <w:spacing w:line="240" w:lineRule="exact"/>
              <w:jc w:val="center"/>
              <w:rPr>
                <w:b/>
                <w:color w:val="000000" w:themeColor="text1"/>
                <w:sz w:val="20"/>
                <w:szCs w:val="20"/>
              </w:rPr>
            </w:pPr>
            <w:r>
              <w:rPr>
                <w:b/>
                <w:color w:val="000000" w:themeColor="text1"/>
                <w:sz w:val="20"/>
                <w:szCs w:val="20"/>
              </w:rPr>
              <w:t>O:19.11.02,29.04.00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Q:19.11.02,29.04.00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b/>
                <w:bCs/>
                <w:sz w:val="20"/>
              </w:rPr>
              <w:t>■</w:t>
            </w:r>
            <w:r>
              <w:rPr>
                <w:rFonts w:ascii="宋体" w:cs="宋体" w:hAnsiTheme="minorHAnsi"/>
                <w:color w:val="000000" w:themeColor="text1"/>
                <w:kern w:val="0"/>
                <w:sz w:val="20"/>
                <w:szCs w:val="20"/>
              </w:rPr>
              <w:t>QMS/</w:t>
            </w:r>
            <w:r>
              <w:rPr>
                <w:rFonts w:hint="eastAsia" w:ascii="宋体" w:hAnsi="宋体"/>
                <w:b/>
                <w:bCs/>
                <w:sz w:val="20"/>
              </w:rPr>
              <w:t>■</w:t>
            </w:r>
            <w:r>
              <w:rPr>
                <w:rFonts w:ascii="宋体" w:cs="宋体" w:hAnsiTheme="minorHAnsi"/>
                <w:color w:val="000000" w:themeColor="text1"/>
                <w:kern w:val="0"/>
                <w:sz w:val="20"/>
                <w:szCs w:val="20"/>
              </w:rPr>
              <w:t>EMS/</w:t>
            </w:r>
            <w:r>
              <w:rPr>
                <w:rFonts w:hint="eastAsia" w:ascii="宋体" w:hAnsi="宋体"/>
                <w:b/>
                <w:bCs/>
                <w:sz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hint="eastAsia" w:ascii="宋体" w:hAnsi="宋体"/>
          <w:b/>
          <w:color w:val="000000" w:themeColor="text1"/>
          <w:spacing w:val="-10"/>
          <w:sz w:val="20"/>
          <w:szCs w:val="20"/>
        </w:rPr>
      </w:pPr>
      <w:r>
        <w:rPr>
          <w:rFonts w:hint="eastAsia" w:ascii="宋体" w:hAnsi="宋体"/>
          <w:b/>
          <w:color w:val="000000" w:themeColor="text1"/>
          <w:sz w:val="26"/>
          <w:szCs w:val="26"/>
        </w:rPr>
        <w:t>审核准则</w:t>
      </w:r>
      <w:bookmarkStart w:id="4" w:name="审核依据"/>
    </w:p>
    <w:p>
      <w:pPr>
        <w:pStyle w:val="11"/>
        <w:numPr>
          <w:ilvl w:val="0"/>
          <w:numId w:val="0"/>
        </w:numPr>
        <w:ind w:left="-851" w:leftChars="0" w:firstLine="362" w:firstLineChars="20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Q：GB/T19001-2016/ISO9001:2015,E：GB/T 24001-2016/ISO14001:2015,O：GB/T45001-2020 / ISO45001：2018</w:t>
      </w:r>
      <w:bookmarkEnd w:id="4"/>
    </w:p>
    <w:p>
      <w:pPr>
        <w:pStyle w:val="11"/>
        <w:numPr>
          <w:ilvl w:val="0"/>
          <w:numId w:val="1"/>
        </w:numPr>
        <w:ind w:left="-142" w:hanging="709" w:firstLineChars="0"/>
        <w:rPr>
          <w:rFonts w:hint="eastAsia" w:ascii="宋体" w:hAnsi="宋体" w:eastAsia="宋体"/>
          <w:b/>
          <w:color w:val="000000" w:themeColor="text1"/>
          <w:sz w:val="26"/>
          <w:szCs w:val="26"/>
        </w:rPr>
      </w:pPr>
      <w:r>
        <w:rPr>
          <w:rFonts w:hint="eastAsia" w:ascii="宋体" w:hAnsi="宋体" w:eastAsia="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重庆市璧山区渝峰摩托车配件有限公司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重庆市璧山区璧城街道工业园区金剑路366号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402760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重庆市璧山区璧城街道工业园区金剑路366号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402760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殷满秀</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023-85293313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牛岩山</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牛岩山</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殷满秀</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Q：线束（摩托车配件）的组装；摩托车配件的销售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E：线束（摩托车配件）的组装；摩托车配件的销售所涉及场所的相关环境管理活动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O：线束（摩托车配件）的组装；摩托车配件的销售所涉及场所的相关职业健康安全管理活动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Q：19.11.02;29.04.00</w:t>
            </w:r>
          </w:p>
          <w:p>
            <w:pPr>
              <w:spacing w:line="320" w:lineRule="exact"/>
              <w:rPr>
                <w:rFonts w:ascii="宋体" w:hAnsi="宋体"/>
                <w:b/>
                <w:color w:val="000000" w:themeColor="text1"/>
                <w:sz w:val="20"/>
                <w:szCs w:val="20"/>
              </w:rPr>
            </w:pPr>
            <w:r>
              <w:rPr>
                <w:rFonts w:ascii="宋体" w:hAnsi="宋体"/>
                <w:b/>
                <w:color w:val="000000" w:themeColor="text1"/>
                <w:sz w:val="20"/>
                <w:szCs w:val="20"/>
              </w:rPr>
              <w:t>E：19.11.02;29.04.00</w:t>
            </w:r>
          </w:p>
          <w:p>
            <w:pPr>
              <w:spacing w:line="320" w:lineRule="exact"/>
              <w:rPr>
                <w:rFonts w:ascii="宋体" w:hAnsi="宋体"/>
                <w:b/>
                <w:color w:val="000000" w:themeColor="text1"/>
                <w:sz w:val="20"/>
                <w:szCs w:val="20"/>
              </w:rPr>
            </w:pPr>
            <w:r>
              <w:rPr>
                <w:rFonts w:ascii="宋体" w:hAnsi="宋体"/>
                <w:b/>
                <w:color w:val="000000" w:themeColor="text1"/>
                <w:sz w:val="20"/>
                <w:szCs w:val="20"/>
              </w:rPr>
              <w:t>O：19.11.02;29.04.00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2021-03-01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w:t>
            </w:r>
            <w:r>
              <w:rPr>
                <w:rFonts w:hint="eastAsia" w:ascii="宋体" w:hAnsi="宋体"/>
                <w:b/>
                <w:color w:val="000000" w:themeColor="text1"/>
                <w:sz w:val="20"/>
                <w:szCs w:val="20"/>
              </w:rPr>
              <w:t>部（</w:t>
            </w:r>
            <w:r>
              <w:rPr>
                <w:rFonts w:hint="eastAsia" w:ascii="宋体" w:hAnsi="宋体"/>
                <w:b/>
                <w:color w:val="000000" w:themeColor="text1"/>
                <w:sz w:val="20"/>
                <w:szCs w:val="20"/>
                <w:lang w:val="en-US" w:eastAsia="zh-CN"/>
              </w:rPr>
              <w:t>含</w:t>
            </w:r>
            <w:r>
              <w:rPr>
                <w:rFonts w:hint="eastAsia" w:ascii="宋体" w:hAnsi="宋体"/>
                <w:b/>
                <w:color w:val="000000" w:themeColor="text1"/>
                <w:sz w:val="20"/>
                <w:szCs w:val="20"/>
              </w:rPr>
              <w:t>财务</w:t>
            </w:r>
            <w:r>
              <w:rPr>
                <w:rFonts w:hint="eastAsia" w:ascii="宋体" w:hAnsi="宋体"/>
                <w:b/>
                <w:color w:val="000000" w:themeColor="text1"/>
                <w:sz w:val="20"/>
                <w:szCs w:val="20"/>
                <w:lang w:val="en-US" w:eastAsia="zh-CN"/>
              </w:rPr>
              <w:t>部</w:t>
            </w:r>
            <w:r>
              <w:rPr>
                <w:rFonts w:hint="eastAsia" w:ascii="宋体" w:hAnsi="宋体"/>
                <w:b/>
                <w:color w:val="000000" w:themeColor="text1"/>
                <w:sz w:val="20"/>
                <w:szCs w:val="20"/>
              </w:rPr>
              <w:t>）</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供销</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rFonts w:hint="eastAsia" w:ascii="宋体" w:hAnsi="宋体"/>
                <w:szCs w:val="21"/>
                <w:highlight w:val="none"/>
                <w:lang w:eastAsia="zh-CN"/>
              </w:rPr>
              <w:t>线束（摩托车配件）的组装；摩托车配件的销售</w:t>
            </w:r>
          </w:p>
        </w:tc>
        <w:tc>
          <w:tcPr>
            <w:tcW w:w="2519" w:type="dxa"/>
          </w:tcPr>
          <w:p>
            <w:pPr>
              <w:rPr>
                <w:b/>
                <w:color w:val="000000" w:themeColor="text1"/>
                <w:sz w:val="20"/>
                <w:szCs w:val="20"/>
                <w:highlight w:val="none"/>
              </w:rPr>
            </w:pPr>
          </w:p>
        </w:tc>
        <w:tc>
          <w:tcPr>
            <w:tcW w:w="1843" w:type="dxa"/>
          </w:tcPr>
          <w:p>
            <w:pPr>
              <w:rPr>
                <w:b/>
                <w:color w:val="000000" w:themeColor="text1"/>
                <w:sz w:val="20"/>
                <w:szCs w:val="20"/>
                <w:highlight w:val="none"/>
              </w:rPr>
            </w:pPr>
          </w:p>
        </w:tc>
        <w:tc>
          <w:tcPr>
            <w:tcW w:w="3543" w:type="dxa"/>
          </w:tcPr>
          <w:p>
            <w:pPr>
              <w:spacing w:line="400" w:lineRule="exact"/>
              <w:rPr>
                <w:b/>
                <w:color w:val="000000" w:themeColor="text1"/>
                <w:sz w:val="20"/>
                <w:szCs w:val="20"/>
                <w:highlight w:val="none"/>
              </w:rPr>
            </w:pPr>
            <w:r>
              <w:rPr>
                <w:rFonts w:hint="eastAsia"/>
                <w:szCs w:val="21"/>
                <w:highlight w:val="none"/>
                <w:lang w:val="en-US" w:eastAsia="zh-CN"/>
              </w:rPr>
              <w:t>主机厂提供的产品图纸及技术要求、合同等</w:t>
            </w:r>
            <w:bookmarkStart w:id="22" w:name="_GoBack"/>
            <w:bookmarkEnd w:id="22"/>
            <w:r>
              <w:rPr>
                <w:rFonts w:hint="eastAsia"/>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不</w:t>
            </w:r>
            <w:r>
              <w:rPr>
                <w:rFonts w:hint="eastAsia" w:ascii="宋体" w:hAnsi="宋体"/>
                <w:color w:val="000000" w:themeColor="text1"/>
              </w:rPr>
              <w:t>适用条款</w:t>
            </w:r>
            <w:r>
              <w:rPr>
                <w:rFonts w:hint="eastAsia" w:ascii="宋体" w:hAnsi="宋体"/>
                <w:color w:val="000000" w:themeColor="text1"/>
                <w:lang w:val="en-US" w:eastAsia="zh-CN"/>
              </w:rPr>
              <w:t>Q8.3</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rPr>
                <w:rFonts w:hint="eastAsia" w:ascii="宋体" w:hAnsi="宋体" w:eastAsia="宋体" w:cs="Times New Roman"/>
                <w:szCs w:val="21"/>
              </w:rPr>
            </w:pPr>
            <w:r>
              <w:rPr>
                <w:rFonts w:hint="eastAsia" w:ascii="宋体" w:hAnsi="宋体" w:eastAsia="宋体" w:cs="Times New Roman"/>
                <w:szCs w:val="21"/>
              </w:rPr>
              <w:t>质量</w:t>
            </w:r>
            <w:r>
              <w:rPr>
                <w:rFonts w:hint="eastAsia" w:ascii="宋体" w:hAnsi="宋体" w:eastAsia="宋体" w:cs="Times New Roman"/>
                <w:szCs w:val="21"/>
                <w:lang w:eastAsia="zh-CN"/>
              </w:rPr>
              <w:t>、</w:t>
            </w:r>
            <w:r>
              <w:rPr>
                <w:rFonts w:hint="eastAsia" w:ascii="宋体" w:hAnsi="宋体" w:eastAsia="宋体" w:cs="Times New Roman"/>
                <w:szCs w:val="21"/>
              </w:rPr>
              <w:t>环境</w:t>
            </w:r>
            <w:r>
              <w:rPr>
                <w:rFonts w:hint="eastAsia" w:ascii="宋体" w:hAnsi="宋体" w:eastAsia="宋体" w:cs="Times New Roman"/>
                <w:szCs w:val="21"/>
                <w:lang w:eastAsia="zh-CN"/>
              </w:rPr>
              <w:t>、</w:t>
            </w:r>
            <w:r>
              <w:rPr>
                <w:rFonts w:hint="eastAsia" w:ascii="宋体" w:hAnsi="宋体" w:eastAsia="宋体" w:cs="Times New Roman"/>
                <w:szCs w:val="21"/>
              </w:rPr>
              <w:t xml:space="preserve">职业健康安全方针： </w:t>
            </w:r>
          </w:p>
          <w:p>
            <w:pPr>
              <w:spacing w:line="400" w:lineRule="exact"/>
              <w:rPr>
                <w:b/>
                <w:color w:val="000000" w:themeColor="text1"/>
              </w:rPr>
            </w:pPr>
            <w:r>
              <w:rPr>
                <w:rFonts w:hint="eastAsia" w:ascii="宋体" w:hAnsi="宋体" w:eastAsia="宋体" w:cs="Times New Roman"/>
                <w:szCs w:val="21"/>
                <w:lang w:eastAsia="zh-CN"/>
              </w:rPr>
              <w:t>“</w:t>
            </w:r>
            <w:r>
              <w:rPr>
                <w:rFonts w:hint="eastAsia" w:ascii="宋体" w:hAnsi="宋体" w:eastAsia="宋体" w:cs="Times New Roman"/>
                <w:szCs w:val="21"/>
              </w:rPr>
              <w:t xml:space="preserve">以品质赢得客户；以绿色、环保、健康、安全生产占有市场 </w:t>
            </w:r>
            <w:r>
              <w:rPr>
                <w:rFonts w:hint="eastAsia" w:ascii="宋体" w:hAnsi="宋体" w:eastAsia="宋体"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rPr>
              <w:t>质量管理体系过</w:t>
            </w:r>
            <w:r>
              <w:rPr>
                <w:rFonts w:hint="eastAsia" w:ascii="宋体" w:hAnsi="宋体"/>
                <w:b/>
                <w:color w:val="000000" w:themeColor="text1"/>
                <w:sz w:val="20"/>
                <w:szCs w:val="20"/>
                <w:highlight w:val="none"/>
              </w:rPr>
              <w:t>程有：合同评审、生产管理</w:t>
            </w:r>
            <w:r>
              <w:rPr>
                <w:rFonts w:hint="eastAsia" w:ascii="宋体" w:hAnsi="宋体"/>
                <w:b/>
                <w:color w:val="000000" w:themeColor="text1"/>
                <w:sz w:val="20"/>
                <w:szCs w:val="20"/>
                <w:highlight w:val="none"/>
                <w:lang w:eastAsia="zh-CN"/>
              </w:rPr>
              <w:t>、</w:t>
            </w:r>
            <w:r>
              <w:rPr>
                <w:rFonts w:hint="eastAsia" w:ascii="宋体" w:hAnsi="宋体"/>
                <w:b/>
                <w:color w:val="000000" w:themeColor="text1"/>
                <w:sz w:val="20"/>
                <w:szCs w:val="20"/>
                <w:highlight w:val="none"/>
                <w:lang w:val="en-US" w:eastAsia="zh-CN"/>
              </w:rPr>
              <w:t>产品检验</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其中关键过程有：配线组合、组缠过程、</w:t>
            </w:r>
            <w:r>
              <w:rPr>
                <w:rFonts w:hint="eastAsia" w:ascii="宋体" w:hAnsi="宋体"/>
                <w:b/>
                <w:color w:val="000000" w:themeColor="text1"/>
                <w:sz w:val="20"/>
                <w:szCs w:val="20"/>
                <w:highlight w:val="none"/>
                <w:lang w:val="en-US" w:eastAsia="zh-CN"/>
              </w:rPr>
              <w:t>销售</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hint="eastAsia" w:ascii="宋体" w:hAnsi="宋体" w:eastAsia="宋体"/>
                <w:b/>
                <w:color w:val="000000" w:themeColor="text1"/>
                <w:sz w:val="20"/>
                <w:szCs w:val="20"/>
                <w:highlight w:val="none"/>
                <w:u w:val="single"/>
                <w:lang w:eastAsia="zh-CN"/>
              </w:rPr>
            </w:pPr>
            <w:r>
              <w:rPr>
                <w:rFonts w:hint="eastAsia" w:ascii="宋体" w:hAnsi="宋体"/>
                <w:b/>
                <w:color w:val="000000" w:themeColor="text1"/>
                <w:sz w:val="20"/>
                <w:szCs w:val="20"/>
                <w:highlight w:val="none"/>
              </w:rPr>
              <w:t xml:space="preserve">需要确认过程：  </w:t>
            </w:r>
            <w:r>
              <w:rPr>
                <w:rFonts w:hint="eastAsia" w:ascii="宋体" w:hAnsi="宋体"/>
                <w:b/>
                <w:color w:val="000000" w:themeColor="text1"/>
                <w:sz w:val="20"/>
                <w:szCs w:val="20"/>
                <w:highlight w:val="none"/>
                <w:lang w:val="en-US" w:eastAsia="zh-CN"/>
              </w:rPr>
              <w:t>销售</w:t>
            </w:r>
            <w:r>
              <w:rPr>
                <w:rFonts w:hint="eastAsia" w:ascii="宋体" w:hAnsi="宋体"/>
                <w:b/>
                <w:color w:val="000000" w:themeColor="text1"/>
                <w:sz w:val="20"/>
                <w:szCs w:val="20"/>
                <w:highlight w:val="none"/>
              </w:rPr>
              <w:t>过程</w:t>
            </w:r>
          </w:p>
          <w:p>
            <w:pPr>
              <w:spacing w:line="400" w:lineRule="exact"/>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8.85pt;height:0pt;width:261.75pt;z-index:25172275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20pt;height:0pt;width:42pt;z-index:2517237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8.3，不适用理由：</w:t>
            </w:r>
            <w:r>
              <w:rPr>
                <w:rFonts w:hint="eastAsia"/>
                <w:szCs w:val="21"/>
                <w:highlight w:val="none"/>
                <w:u w:val="single"/>
                <w:lang w:val="en-US" w:eastAsia="zh-CN"/>
              </w:rPr>
              <w:t>本公司生产工艺及设备稳定，生产的产品严格按照国家标准或顾客要求进行，如有变更由客户进行更改</w:t>
            </w:r>
            <w:r>
              <w:rPr>
                <w:rFonts w:hint="eastAsia"/>
                <w:szCs w:val="21"/>
                <w:highlight w:val="none"/>
                <w:u w:val="single"/>
                <w:lang w:val="zh-CN" w:eastAsia="zh-CN"/>
              </w:rPr>
              <w:t>。</w:t>
            </w:r>
            <w:r>
              <w:rPr>
                <w:rFonts w:hint="eastAsia"/>
                <w:szCs w:val="21"/>
                <w:highlight w:val="none"/>
                <w:u w:val="single"/>
                <w:lang w:val="en-US" w:eastAsia="zh-CN"/>
              </w:rPr>
              <w:t>8.3条款的</w:t>
            </w:r>
            <w:r>
              <w:rPr>
                <w:rFonts w:hint="eastAsia"/>
                <w:szCs w:val="21"/>
                <w:highlight w:val="none"/>
                <w:u w:val="single"/>
                <w:lang w:val="zh-CN" w:eastAsia="zh-CN"/>
              </w:rPr>
              <w:t>删减不影响公司提供满足顾客要求和相关法律法规要求的能力</w:t>
            </w:r>
            <w:r>
              <w:rPr>
                <w:rFonts w:hint="eastAsia"/>
                <w:szCs w:val="21"/>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szCs w:val="21"/>
                <w:highlight w:val="none"/>
              </w:rPr>
              <w:t>潜在火灾、固体废弃物</w:t>
            </w:r>
            <w:r>
              <w:rPr>
                <w:rFonts w:hint="eastAsia"/>
                <w:szCs w:val="21"/>
                <w:highlight w:val="none"/>
                <w:lang w:val="en-US" w:eastAsia="zh-CN"/>
              </w:rPr>
              <w:t>排放</w:t>
            </w:r>
            <w:r>
              <w:rPr>
                <w:rFonts w:hint="eastAsia" w:asciiTheme="minorEastAsia" w:hAnsiTheme="minorEastAsia" w:eastAsiaTheme="minorEastAsia"/>
                <w:bCs/>
                <w:iCs/>
              </w:rPr>
              <w:t>的</w:t>
            </w:r>
            <w:r>
              <w:rPr>
                <w:rFonts w:hint="eastAsia" w:asciiTheme="minorEastAsia" w:hAnsiTheme="minorEastAsia" w:eastAsiaTheme="minorEastAsia"/>
                <w:bCs/>
                <w:iCs/>
                <w:lang w:val="en-US" w:eastAsia="zh-CN"/>
              </w:rPr>
              <w:t>管理方案</w:t>
            </w:r>
            <w:r>
              <w:rPr>
                <w:rFonts w:hint="eastAsia" w:asciiTheme="minorEastAsia" w:hAnsiTheme="minorEastAsia" w:eastAsiaTheme="minorEastAsia"/>
                <w:bCs/>
                <w:iCs/>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szCs w:val="21"/>
                <w:highlight w:val="none"/>
              </w:rPr>
              <w:t>火灾</w:t>
            </w:r>
            <w:r>
              <w:rPr>
                <w:rFonts w:hint="eastAsia"/>
                <w:szCs w:val="21"/>
                <w:highlight w:val="none"/>
                <w:lang w:val="en-US" w:eastAsia="zh-CN"/>
              </w:rPr>
              <w:t>伤害</w:t>
            </w:r>
            <w:r>
              <w:rPr>
                <w:rFonts w:hint="eastAsia"/>
                <w:szCs w:val="21"/>
                <w:highlight w:val="none"/>
                <w:lang w:eastAsia="zh-CN"/>
              </w:rPr>
              <w:t>、</w:t>
            </w:r>
            <w:r>
              <w:rPr>
                <w:rFonts w:hint="eastAsia"/>
                <w:szCs w:val="21"/>
                <w:highlight w:val="none"/>
              </w:rPr>
              <w:t>人身意外伤害</w:t>
            </w:r>
            <w:r>
              <w:rPr>
                <w:rFonts w:hint="eastAsia" w:ascii="宋体" w:hAnsi="宋体"/>
                <w:color w:val="000000" w:themeColor="text1"/>
                <w:lang w:eastAsia="zh-CN"/>
              </w:rPr>
              <w:t>）</w:t>
            </w:r>
            <w:r>
              <w:rPr>
                <w:rFonts w:hint="eastAsia" w:ascii="宋体" w:hAnsi="宋体"/>
                <w:color w:val="000000" w:themeColor="text1"/>
              </w:rPr>
              <w:t>，与之相关的过程有安装，针对重要危险源制定了管理方案。控制措施实施有效。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400" w:lineRule="exact"/>
              <w:rPr>
                <w:rFonts w:hint="eastAsia" w:ascii="宋体" w:hAnsi="宋体" w:eastAsia="宋体" w:cs="Times New Roman"/>
                <w:szCs w:val="21"/>
                <w:lang w:eastAsia="zh-CN"/>
              </w:rPr>
            </w:pPr>
            <w:r>
              <w:rPr>
                <w:rFonts w:hint="eastAsia" w:ascii="宋体" w:hAnsi="宋体" w:eastAsia="宋体" w:cs="Times New Roman"/>
                <w:szCs w:val="21"/>
                <w:lang w:eastAsia="zh-CN"/>
              </w:rPr>
              <w:t>质量管理目标：</w:t>
            </w:r>
          </w:p>
          <w:p>
            <w:pPr>
              <w:spacing w:line="400" w:lineRule="exact"/>
              <w:rPr>
                <w:rFonts w:hint="eastAsia" w:ascii="宋体" w:hAnsi="宋体" w:eastAsia="宋体" w:cs="Times New Roman"/>
                <w:szCs w:val="21"/>
              </w:rPr>
            </w:pPr>
            <w:r>
              <w:rPr>
                <w:rFonts w:hint="eastAsia" w:ascii="宋体" w:hAnsi="宋体" w:eastAsia="宋体" w:cs="Times New Roman"/>
                <w:szCs w:val="21"/>
              </w:rPr>
              <w:t>（1）产品交付合格率100%；</w:t>
            </w:r>
          </w:p>
          <w:p>
            <w:pPr>
              <w:spacing w:line="400" w:lineRule="exact"/>
              <w:rPr>
                <w:rFonts w:hint="eastAsia" w:ascii="宋体" w:hAnsi="宋体" w:eastAsia="宋体" w:cs="Times New Roman"/>
                <w:szCs w:val="21"/>
              </w:rPr>
            </w:pPr>
            <w:r>
              <w:rPr>
                <w:rFonts w:hint="eastAsia" w:ascii="宋体" w:hAnsi="宋体" w:eastAsia="宋体" w:cs="Times New Roman"/>
                <w:szCs w:val="21"/>
              </w:rPr>
              <w:t>（2）顾客满意度≧95%；</w:t>
            </w:r>
          </w:p>
          <w:p>
            <w:pPr>
              <w:spacing w:line="400" w:lineRule="exact"/>
              <w:rPr>
                <w:rFonts w:hint="eastAsia" w:ascii="宋体" w:hAnsi="宋体" w:eastAsia="宋体" w:cs="Times New Roman"/>
                <w:szCs w:val="21"/>
                <w:lang w:eastAsia="zh-CN"/>
              </w:rPr>
            </w:pPr>
            <w:r>
              <w:rPr>
                <w:rFonts w:hint="eastAsia" w:ascii="宋体" w:hAnsi="宋体" w:eastAsia="宋体" w:cs="Times New Roman"/>
                <w:szCs w:val="21"/>
              </w:rPr>
              <w:t>环境管理目标</w:t>
            </w:r>
            <w:r>
              <w:rPr>
                <w:rFonts w:hint="eastAsia" w:ascii="宋体" w:hAnsi="宋体" w:eastAsia="宋体" w:cs="Times New Roman"/>
                <w:szCs w:val="21"/>
                <w:lang w:eastAsia="zh-CN"/>
              </w:rPr>
              <w:t>：</w:t>
            </w:r>
          </w:p>
          <w:p>
            <w:pPr>
              <w:spacing w:line="400" w:lineRule="exact"/>
              <w:rPr>
                <w:rFonts w:hint="eastAsia" w:ascii="宋体" w:hAnsi="宋体" w:eastAsia="宋体" w:cs="Times New Roman"/>
                <w:szCs w:val="21"/>
              </w:rPr>
            </w:pPr>
            <w:r>
              <w:rPr>
                <w:rFonts w:hint="eastAsia" w:ascii="宋体" w:hAnsi="宋体" w:eastAsia="宋体" w:cs="Times New Roman"/>
                <w:szCs w:val="21"/>
              </w:rPr>
              <w:t>（1）火灾发生次数为0；</w:t>
            </w:r>
          </w:p>
          <w:p>
            <w:pPr>
              <w:spacing w:line="400" w:lineRule="exact"/>
              <w:rPr>
                <w:rFonts w:hint="eastAsia" w:ascii="宋体" w:hAnsi="宋体" w:eastAsia="宋体" w:cs="Times New Roman"/>
                <w:szCs w:val="21"/>
              </w:rPr>
            </w:pPr>
            <w:r>
              <w:rPr>
                <w:rFonts w:hint="eastAsia" w:ascii="宋体" w:hAnsi="宋体" w:eastAsia="宋体" w:cs="Times New Roman"/>
                <w:szCs w:val="21"/>
              </w:rPr>
              <w:t>（2）固体废弃物分类合规处置率100%；</w:t>
            </w:r>
          </w:p>
          <w:p>
            <w:pPr>
              <w:spacing w:line="400" w:lineRule="exact"/>
              <w:rPr>
                <w:rFonts w:hint="eastAsia" w:ascii="宋体" w:hAnsi="宋体" w:eastAsia="宋体" w:cs="Times New Roman"/>
                <w:szCs w:val="21"/>
                <w:lang w:eastAsia="zh-CN"/>
              </w:rPr>
            </w:pPr>
            <w:r>
              <w:rPr>
                <w:rFonts w:hint="eastAsia" w:ascii="宋体" w:hAnsi="宋体" w:eastAsia="宋体" w:cs="Times New Roman"/>
                <w:szCs w:val="21"/>
              </w:rPr>
              <w:t>职业健康安全管理目标</w:t>
            </w:r>
            <w:r>
              <w:rPr>
                <w:rFonts w:hint="eastAsia" w:ascii="宋体" w:hAnsi="宋体" w:eastAsia="宋体" w:cs="Times New Roman"/>
                <w:szCs w:val="21"/>
                <w:lang w:eastAsia="zh-CN"/>
              </w:rPr>
              <w:t>：</w:t>
            </w:r>
          </w:p>
          <w:p>
            <w:pPr>
              <w:spacing w:line="400" w:lineRule="exact"/>
              <w:rPr>
                <w:rFonts w:hint="eastAsia" w:ascii="宋体" w:hAnsi="宋体" w:eastAsia="宋体" w:cs="Times New Roman"/>
                <w:szCs w:val="21"/>
              </w:rPr>
            </w:pPr>
            <w:r>
              <w:rPr>
                <w:rFonts w:hint="eastAsia" w:ascii="宋体" w:hAnsi="宋体" w:eastAsia="宋体" w:cs="Times New Roman"/>
                <w:szCs w:val="21"/>
              </w:rPr>
              <w:t>（1）火灾发生次数为0；</w:t>
            </w:r>
          </w:p>
          <w:p>
            <w:pPr>
              <w:spacing w:line="400" w:lineRule="exact"/>
              <w:rPr>
                <w:rFonts w:ascii="宋体" w:hAnsi="宋体"/>
                <w:b/>
                <w:color w:val="000000" w:themeColor="text1"/>
              </w:rPr>
            </w:pPr>
            <w:r>
              <w:rPr>
                <w:rFonts w:hint="eastAsia" w:ascii="宋体" w:hAnsi="宋体" w:eastAsia="宋体" w:cs="Times New Roman"/>
                <w:szCs w:val="21"/>
              </w:rPr>
              <w:t>（2）人身意外伤害</w:t>
            </w:r>
            <w:r>
              <w:rPr>
                <w:rFonts w:hint="eastAsia" w:ascii="宋体" w:hAnsi="宋体" w:eastAsia="宋体" w:cs="Times New Roman"/>
                <w:szCs w:val="21"/>
                <w:lang w:val="en-US" w:eastAsia="zh-CN"/>
              </w:rPr>
              <w:t>为0</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21</w:t>
            </w:r>
            <w:r>
              <w:rPr>
                <w:rFonts w:hint="eastAsia" w:ascii="宋体" w:hAnsi="宋体" w:cs="Arial"/>
                <w:color w:val="000000" w:themeColor="text1"/>
              </w:rPr>
              <w:t xml:space="preserve"> </w:t>
            </w:r>
            <w:r>
              <w:rPr>
                <w:rFonts w:hint="eastAsia" w:ascii="宋体" w:hAnsi="宋体" w:cs="宋体"/>
                <w:color w:val="000000" w:themeColor="text1"/>
              </w:rPr>
              <w:t>年3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ascii="宋体" w:hAnsi="宋体"/>
                <w:b/>
                <w:color w:val="000000" w:themeColor="text1"/>
                <w:sz w:val="20"/>
                <w:szCs w:val="20"/>
              </w:rPr>
            </w:pPr>
            <w:r>
              <w:rPr>
                <w:rFonts w:hint="eastAsia" w:ascii="宋体" w:hAnsi="宋体"/>
                <w:szCs w:val="21"/>
                <w:highlight w:val="none"/>
              </w:rPr>
              <w:t>办公室共约40平方米左右，生产车间约500平方米左右。库房（分为原材料堆放区及成品堆放区）与车间是独立的，约100平米左右。</w:t>
            </w:r>
            <w:r>
              <w:rPr>
                <w:rFonts w:hint="eastAsia" w:ascii="宋体" w:hAnsi="宋体" w:cs="宋体"/>
                <w:szCs w:val="21"/>
                <w:highlight w:val="none"/>
              </w:rPr>
              <w:t>主要生产设备</w:t>
            </w:r>
            <w:r>
              <w:rPr>
                <w:rFonts w:hint="eastAsia" w:ascii="宋体" w:hAnsi="宋体" w:cs="宋体"/>
                <w:szCs w:val="21"/>
                <w:highlight w:val="none"/>
                <w:lang w:val="en-US" w:eastAsia="zh-CN"/>
              </w:rPr>
              <w:t>有：</w:t>
            </w:r>
            <w:r>
              <w:rPr>
                <w:rFonts w:hint="eastAsia" w:ascii="宋体" w:hAnsi="宋体" w:cs="宋体"/>
                <w:szCs w:val="21"/>
                <w:highlight w:val="none"/>
              </w:rPr>
              <w:t>电脑、办公设备、电脑剥线机 、铜带机、端子冲压机 、热合机 、线束通断测试仪等</w:t>
            </w:r>
            <w:r>
              <w:rPr>
                <w:rFonts w:hint="eastAsia" w:ascii="宋体" w:hAnsi="宋体"/>
                <w:szCs w:val="21"/>
                <w:highlight w:val="none"/>
              </w:rPr>
              <w:t>，可以满足</w:t>
            </w:r>
            <w:r>
              <w:rPr>
                <w:rFonts w:hint="eastAsia" w:ascii="宋体" w:hAnsi="宋体" w:cs="宋体"/>
                <w:szCs w:val="21"/>
                <w:highlight w:val="none"/>
              </w:rPr>
              <w:t>产品生产</w:t>
            </w:r>
            <w:r>
              <w:rPr>
                <w:rFonts w:hint="eastAsia" w:ascii="宋体" w:hAnsi="宋体" w:cs="宋体"/>
                <w:szCs w:val="21"/>
                <w:highlight w:val="none"/>
                <w:lang w:val="en-US" w:eastAsia="zh-CN"/>
              </w:rPr>
              <w:t>及销售的</w:t>
            </w:r>
            <w:r>
              <w:rPr>
                <w:rFonts w:hint="eastAsia" w:ascii="宋体" w:hAnsi="宋体" w:cs="宋体"/>
                <w:szCs w:val="21"/>
                <w:highlight w:val="none"/>
              </w:rPr>
              <w:t>需求。对设备按月方式进行维护保养，并实施。特种设备：</w:t>
            </w:r>
            <w:r>
              <w:rPr>
                <w:rFonts w:hint="eastAsia" w:ascii="宋体" w:hAnsi="宋体"/>
                <w:szCs w:val="21"/>
                <w:highlight w:val="none"/>
              </w:rPr>
              <w:t>无</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rPr>
              <w:t>生产</w:t>
            </w:r>
            <w:r>
              <w:rPr>
                <w:rFonts w:hint="eastAsia" w:ascii="宋体" w:hAnsi="宋体" w:cs="宋体"/>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ind w:firstLine="420" w:firstLineChars="200"/>
              <w:rPr>
                <w:rFonts w:ascii="宋体" w:hAnsi="宋体"/>
                <w:b/>
                <w:color w:val="000000" w:themeColor="text1"/>
                <w:sz w:val="20"/>
                <w:szCs w:val="20"/>
              </w:rPr>
            </w:pPr>
            <w:r>
              <w:rPr>
                <w:rFonts w:hint="eastAsia" w:ascii="宋体" w:hAnsi="宋体" w:cs="宋体"/>
                <w:szCs w:val="21"/>
                <w:highlight w:val="none"/>
              </w:rPr>
              <w:t>查公司</w:t>
            </w:r>
            <w:r>
              <w:rPr>
                <w:rFonts w:hint="eastAsia"/>
                <w:color w:val="000000" w:themeColor="text1"/>
                <w:highlight w:val="none"/>
              </w:rPr>
              <w:t>配置有</w:t>
            </w:r>
            <w:r>
              <w:rPr>
                <w:rFonts w:hint="eastAsia" w:ascii="宋体" w:hAnsi="宋体" w:cs="Times New Roman"/>
                <w:szCs w:val="21"/>
                <w:highlight w:val="none"/>
                <w:lang w:val="en-US" w:eastAsia="zh-CN"/>
              </w:rPr>
              <w:t>数显卡尺、外径千分尺、线束检测仪、拉力测试机等，均采用委外送检的方式。抽查以上检具的检定证书，能提供数显卡尺、外径千分尺、线束检测仪有效的校准证书，其中拉力测试机未见有效校准证书。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eastAsia="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w:t>
            </w:r>
            <w:r>
              <w:rPr>
                <w:rFonts w:hint="eastAsia" w:ascii="宋体" w:hAnsi="宋体" w:cs="宋体"/>
                <w:color w:val="000000"/>
                <w:szCs w:val="21"/>
              </w:rPr>
              <w:t>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color w:val="FF0000"/>
                <w:sz w:val="20"/>
                <w:szCs w:val="20"/>
              </w:rPr>
            </w:pPr>
            <w:r>
              <w:rPr>
                <w:rFonts w:hint="eastAsia" w:ascii="宋体" w:hAnsi="宋体"/>
                <w:sz w:val="20"/>
                <w:szCs w:val="20"/>
              </w:rPr>
              <w:t>消防栓、灭火器置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有</w:t>
            </w:r>
          </w:p>
          <w:p>
            <w:pPr>
              <w:spacing w:line="300" w:lineRule="exact"/>
              <w:ind w:firstLine="197" w:firstLineChars="98"/>
              <w:rPr>
                <w:b/>
                <w:color w:val="000000" w:themeColor="text1"/>
                <w:sz w:val="20"/>
                <w:szCs w:val="20"/>
              </w:rPr>
            </w:pPr>
            <w:r>
              <w:rPr>
                <w:rFonts w:hint="eastAsia"/>
                <w:b/>
                <w:color w:val="000000" w:themeColor="text1"/>
                <w:sz w:val="20"/>
                <w:szCs w:val="20"/>
              </w:rPr>
              <w:t>（附相关证据）型式试验报告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400" w:lineRule="atLeast"/>
              <w:jc w:val="left"/>
              <w:rPr>
                <w:b/>
                <w:color w:val="000000" w:themeColor="text1"/>
                <w:sz w:val="20"/>
                <w:szCs w:val="20"/>
              </w:rPr>
            </w:pPr>
            <w:r>
              <w:rPr>
                <w:rFonts w:hint="eastAsia" w:asciiTheme="minorEastAsia" w:hAnsiTheme="minorEastAsia" w:eastAsiaTheme="minorEastAsia"/>
                <w:bCs/>
                <w:iCs/>
              </w:rPr>
              <w:t>组织重要环境因素为</w:t>
            </w:r>
            <w:r>
              <w:rPr>
                <w:rFonts w:hint="eastAsia"/>
                <w:szCs w:val="21"/>
                <w:highlight w:val="none"/>
              </w:rPr>
              <w:t>潜在火灾、固体废弃物</w:t>
            </w:r>
            <w:r>
              <w:rPr>
                <w:rFonts w:hint="eastAsia"/>
                <w:szCs w:val="21"/>
                <w:highlight w:val="none"/>
                <w:lang w:val="en-US" w:eastAsia="zh-CN"/>
              </w:rPr>
              <w:t>排放</w:t>
            </w:r>
            <w:r>
              <w:rPr>
                <w:rFonts w:hint="eastAsia" w:ascii="宋体" w:hAnsi="宋体"/>
                <w:szCs w:val="21"/>
                <w:highlight w:val="none"/>
              </w:rPr>
              <w:t>。</w:t>
            </w:r>
            <w:r>
              <w:rPr>
                <w:rFonts w:hint="eastAsia" w:asciiTheme="minorEastAsia" w:hAnsiTheme="minorEastAsia" w:eastAsiaTheme="minorEastAsia"/>
                <w:bCs/>
                <w:iCs/>
              </w:rPr>
              <w:t>需要应对的风险和机遇相关的过</w:t>
            </w:r>
            <w:r>
              <w:rPr>
                <w:rFonts w:hint="eastAsia" w:asciiTheme="minorEastAsia" w:hAnsiTheme="minorEastAsia" w:eastAsiaTheme="minorEastAsia"/>
                <w:bCs/>
                <w:iCs/>
                <w:highlight w:val="none"/>
              </w:rPr>
              <w:t>程为销售过程，建立了控制过程的识别、策划控制程序，控制措施实施有效性（包括组织自身的污染预</w:t>
            </w:r>
            <w:r>
              <w:rPr>
                <w:rFonts w:hint="eastAsia" w:asciiTheme="minorEastAsia" w:hAnsiTheme="minorEastAsia" w:eastAsiaTheme="minorEastAsia"/>
                <w:bCs/>
                <w:iCs/>
              </w:rPr>
              <w:t>防控制及对相关方的控制）；组织在运行策划时，基于产品生命周期的思维，识别了整个过程的环境影响。具体控制措施，包括：</w:t>
            </w:r>
            <w:r>
              <w:rPr>
                <w:rFonts w:hint="eastAsia"/>
                <w:szCs w:val="21"/>
                <w:highlight w:val="none"/>
              </w:rPr>
              <w:t>潜在火灾、固体废弃物</w:t>
            </w:r>
            <w:r>
              <w:rPr>
                <w:rFonts w:hint="eastAsia"/>
                <w:szCs w:val="21"/>
                <w:highlight w:val="none"/>
                <w:lang w:val="en-US" w:eastAsia="zh-CN"/>
              </w:rPr>
              <w:t>排放</w:t>
            </w:r>
            <w:r>
              <w:rPr>
                <w:rFonts w:hint="eastAsia" w:asciiTheme="minorEastAsia" w:hAnsiTheme="minorEastAsia" w:eastAsiaTheme="minorEastAsia"/>
                <w:bCs/>
                <w:iCs/>
              </w:rPr>
              <w:t>的</w:t>
            </w:r>
            <w:r>
              <w:rPr>
                <w:rFonts w:hint="eastAsia" w:asciiTheme="minorEastAsia" w:hAnsiTheme="minorEastAsia" w:eastAsiaTheme="minorEastAsia"/>
                <w:bCs/>
                <w:iCs/>
                <w:lang w:val="en-US" w:eastAsia="zh-CN"/>
              </w:rPr>
              <w:t>管理方案</w:t>
            </w:r>
            <w:r>
              <w:rPr>
                <w:rFonts w:hint="eastAsia" w:asciiTheme="minorEastAsia" w:hAnsiTheme="minorEastAsia" w:eastAsiaTheme="minorEastAsia"/>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szCs w:val="21"/>
                <w:highlight w:val="none"/>
              </w:rPr>
              <w:t>火灾</w:t>
            </w:r>
            <w:r>
              <w:rPr>
                <w:rFonts w:hint="eastAsia"/>
                <w:szCs w:val="21"/>
                <w:highlight w:val="none"/>
                <w:lang w:val="en-US" w:eastAsia="zh-CN"/>
              </w:rPr>
              <w:t>伤害</w:t>
            </w:r>
            <w:r>
              <w:rPr>
                <w:rFonts w:hint="eastAsia"/>
                <w:szCs w:val="21"/>
                <w:highlight w:val="none"/>
                <w:lang w:eastAsia="zh-CN"/>
              </w:rPr>
              <w:t>、</w:t>
            </w:r>
            <w:r>
              <w:rPr>
                <w:rFonts w:hint="eastAsia"/>
                <w:szCs w:val="21"/>
                <w:highlight w:val="none"/>
              </w:rPr>
              <w:t>人身意外伤害</w:t>
            </w:r>
            <w:r>
              <w:rPr>
                <w:rFonts w:hint="eastAsia"/>
                <w:szCs w:val="21"/>
              </w:rPr>
              <w:t>）</w:t>
            </w:r>
            <w:r>
              <w:rPr>
                <w:rFonts w:hint="eastAsia" w:asciiTheme="minorEastAsia" w:hAnsiTheme="minorEastAsia" w:eastAsiaTheme="minorEastAsia"/>
                <w:bCs/>
                <w:iCs/>
              </w:rPr>
              <w:t>，与之相关的过程有生产过程，针对不可接受风险制定了管理方案。控制措施实施有效。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w:t>
            </w:r>
            <w:r>
              <w:rPr>
                <w:rFonts w:hint="eastAsia" w:ascii="宋体" w:hAnsi="宋体" w:cs="宋体"/>
                <w:color w:val="000000"/>
                <w:szCs w:val="21"/>
                <w:highlight w:val="none"/>
              </w:rPr>
              <w:t>方法对目标进行了测量，总体已达到或超过了规定的目标值。通过202</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月-202</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w:t>
            </w:r>
            <w:r>
              <w:rPr>
                <w:rFonts w:hint="eastAsia" w:ascii="宋体" w:hAnsi="宋体" w:cs="宋体"/>
                <w:color w:val="000000"/>
                <w:szCs w:val="21"/>
                <w:highlight w:val="none"/>
              </w:rPr>
              <w:t>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w:t>
            </w:r>
            <w:r>
              <w:rPr>
                <w:rFonts w:hint="eastAsia" w:ascii="宋体" w:hAnsi="宋体"/>
                <w:color w:val="000000" w:themeColor="text1"/>
                <w:szCs w:val="21"/>
                <w:highlight w:val="none"/>
                <w:lang w:val="en-US" w:eastAsia="zh-CN"/>
              </w:rPr>
              <w:t>2021年6月2日</w:t>
            </w:r>
            <w:r>
              <w:rPr>
                <w:rFonts w:hint="eastAsia" w:ascii="宋体" w:hAnsi="宋体"/>
                <w:szCs w:val="21"/>
              </w:rPr>
              <w:t>，拟定了审核实施表，明确了内审范围，内审人员经培训合格上岗，能力满足要求，未出现审核本部门情况，</w:t>
            </w:r>
            <w:r>
              <w:rPr>
                <w:rFonts w:hint="eastAsia"/>
                <w:szCs w:val="22"/>
              </w:rPr>
              <w:t>《内审不符合项报告》</w:t>
            </w:r>
            <w:r>
              <w:rPr>
                <w:rFonts w:hint="eastAsia"/>
                <w:szCs w:val="22"/>
                <w:lang w:val="en-US" w:eastAsia="zh-CN"/>
              </w:rPr>
              <w:t>1</w:t>
            </w:r>
            <w:r>
              <w:rPr>
                <w:rFonts w:hint="eastAsia"/>
                <w:szCs w:val="22"/>
              </w:rPr>
              <w:t>份，</w:t>
            </w:r>
            <w:r>
              <w:rPr>
                <w:rFonts w:hint="eastAsia" w:ascii="宋体" w:hAnsi="宋体"/>
                <w:color w:val="000000" w:themeColor="text1"/>
                <w:szCs w:val="21"/>
                <w:highlight w:val="none"/>
                <w:lang w:val="en-US" w:eastAsia="zh-CN"/>
              </w:rPr>
              <w:t>涉及行政部Q/E/S7.2条款,不符合描述为“查2021年对人员能力评价的情况，未提供相关证据”</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olor w:val="000000" w:themeColor="text1"/>
                <w:szCs w:val="21"/>
              </w:rPr>
              <w:t>202</w:t>
            </w:r>
            <w:r>
              <w:rPr>
                <w:rFonts w:hint="eastAsia" w:ascii="宋体" w:hAnsi="宋体"/>
                <w:color w:val="000000" w:themeColor="text1"/>
                <w:szCs w:val="21"/>
                <w:lang w:val="en-US" w:eastAsia="zh-CN"/>
              </w:rPr>
              <w:t>1</w:t>
            </w:r>
            <w:r>
              <w:rPr>
                <w:rFonts w:hint="eastAsia" w:ascii="宋体" w:hAnsi="宋体"/>
                <w:color w:val="000000" w:themeColor="text1"/>
                <w:szCs w:val="21"/>
              </w:rPr>
              <w:t>年</w:t>
            </w:r>
            <w:r>
              <w:rPr>
                <w:rFonts w:hint="eastAsia" w:ascii="宋体" w:hAnsi="宋体"/>
                <w:color w:val="000000" w:themeColor="text1"/>
                <w:szCs w:val="21"/>
                <w:lang w:val="en-US" w:eastAsia="zh-CN"/>
              </w:rPr>
              <w:t>6</w:t>
            </w:r>
            <w:r>
              <w:rPr>
                <w:rFonts w:hint="eastAsia" w:ascii="宋体" w:hAnsi="宋体"/>
                <w:color w:val="000000" w:themeColor="text1"/>
                <w:szCs w:val="21"/>
              </w:rPr>
              <w:t>月</w:t>
            </w:r>
            <w:r>
              <w:rPr>
                <w:rFonts w:hint="eastAsia" w:ascii="宋体" w:hAnsi="宋体"/>
                <w:color w:val="000000" w:themeColor="text1"/>
                <w:szCs w:val="21"/>
                <w:lang w:val="en-US" w:eastAsia="zh-CN"/>
              </w:rPr>
              <w:t>8</w:t>
            </w:r>
            <w:r>
              <w:rPr>
                <w:rFonts w:hint="eastAsia" w:ascii="宋体" w:hAnsi="宋体"/>
                <w:color w:val="000000" w:themeColor="text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sz w:val="20"/>
                <w:szCs w:val="20"/>
              </w:rPr>
            </w:pPr>
            <w:r>
              <w:rPr>
                <w:rFonts w:hint="eastAsia"/>
                <w:b/>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w:t>
            </w:r>
            <w:r>
              <w:rPr>
                <w:rFonts w:hint="eastAsia" w:ascii="Times New Roman" w:hAnsi="Times New Roman" w:eastAsia="宋体" w:cs="Times New Roman"/>
                <w:b/>
                <w:color w:val="000000" w:themeColor="text1"/>
                <w:sz w:val="20"/>
                <w:szCs w:val="20"/>
              </w:rPr>
              <w:t>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 xml:space="preserve">3. </w:t>
            </w:r>
            <w:r>
              <w:rPr>
                <w:rFonts w:hint="eastAsia" w:ascii="Times New Roman" w:hAnsi="Times New Roman" w:eastAsia="宋体" w:cs="Times New Roman"/>
                <w:b/>
                <w:color w:val="000000" w:themeColor="text1"/>
                <w:sz w:val="20"/>
                <w:szCs w:val="20"/>
              </w:rPr>
              <w:t>一阶段提出问题的整改情况?</w:t>
            </w:r>
          </w:p>
          <w:p>
            <w:pPr>
              <w:spacing w:line="240" w:lineRule="exact"/>
              <w:rPr>
                <w:b/>
                <w:color w:val="000000" w:themeColor="text1"/>
                <w:spacing w:val="-20"/>
                <w:sz w:val="20"/>
                <w:szCs w:val="20"/>
              </w:rPr>
            </w:pPr>
            <w:r>
              <w:rPr>
                <w:rFonts w:hint="eastAsia" w:ascii="Times New Roman" w:hAnsi="Times New Roman" w:eastAsia="宋体" w:cs="Times New Roman"/>
                <w:b w:val="0"/>
                <w:bCs/>
                <w:color w:val="000000" w:themeColor="text1"/>
                <w:sz w:val="20"/>
                <w:szCs w:val="20"/>
                <w:lang w:val="en-US" w:eastAsia="zh-CN"/>
              </w:rPr>
              <w:t>一</w:t>
            </w:r>
            <w:r>
              <w:rPr>
                <w:rFonts w:hint="eastAsia" w:ascii="Times New Roman" w:hAnsi="Times New Roman" w:eastAsia="宋体" w:cs="Times New Roman"/>
                <w:b w:val="0"/>
                <w:bCs/>
                <w:color w:val="000000" w:themeColor="text1"/>
                <w:sz w:val="20"/>
                <w:szCs w:val="20"/>
                <w:lang w:eastAsia="zh-CN"/>
              </w:rPr>
              <w:t>阶段审核时开具的不符合项</w:t>
            </w:r>
            <w:r>
              <w:rPr>
                <w:rFonts w:hint="eastAsia" w:cs="Times New Roman"/>
                <w:b w:val="0"/>
                <w:bCs/>
                <w:color w:val="000000" w:themeColor="text1"/>
                <w:sz w:val="20"/>
                <w:szCs w:val="20"/>
                <w:lang w:eastAsia="zh-CN"/>
              </w:rPr>
              <w:t>，</w:t>
            </w:r>
            <w:r>
              <w:rPr>
                <w:rFonts w:hint="eastAsia" w:cs="Times New Roman"/>
                <w:b w:val="0"/>
                <w:bCs/>
                <w:color w:val="000000" w:themeColor="text1"/>
                <w:sz w:val="20"/>
                <w:szCs w:val="20"/>
                <w:lang w:val="en-US" w:eastAsia="zh-CN"/>
              </w:rPr>
              <w:t>二阶段审核时未整改到位。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2</w:t>
      </w:r>
      <w:r>
        <w:rPr>
          <w:rFonts w:hint="eastAsia"/>
          <w:b/>
          <w:color w:val="000000" w:themeColor="text1"/>
          <w:highlight w:val="none"/>
        </w:rPr>
        <w:t>项；其中</w:t>
      </w:r>
      <w:r>
        <w:rPr>
          <w:b/>
          <w:color w:val="000000" w:themeColor="text1"/>
          <w:highlight w:val="none"/>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2</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val="en-US" w:eastAsia="zh-CN"/>
        </w:rPr>
        <w:t>生技部</w:t>
      </w:r>
      <w:r>
        <w:rPr>
          <w:rFonts w:hint="eastAsia"/>
          <w:b/>
          <w:color w:val="000000" w:themeColor="text1"/>
          <w:highlight w:val="none"/>
        </w:rPr>
        <w:t>部门</w:t>
      </w:r>
      <w:r>
        <w:rPr>
          <w:rFonts w:hint="eastAsia"/>
          <w:b/>
          <w:color w:val="000000" w:themeColor="text1"/>
          <w:highlight w:val="none"/>
          <w:lang w:val="en-US" w:eastAsia="zh-CN"/>
        </w:rPr>
        <w:t>Q7.1.5、E8.1</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 w:val="22"/>
                <w:szCs w:val="22"/>
              </w:rPr>
              <w:t xml:space="preserve">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00" w:lineRule="auto"/>
              <w:rPr>
                <w:rFonts w:ascii="宋体" w:hAnsi="宋体"/>
                <w:szCs w:val="21"/>
              </w:rPr>
            </w:pPr>
            <w:r>
              <w:rPr>
                <w:rFonts w:ascii="宋体" w:hAnsi="宋体"/>
                <w:b/>
                <w:color w:val="000000"/>
                <w:sz w:val="20"/>
              </w:rPr>
              <w:t>QMS:</w:t>
            </w:r>
            <w:r>
              <w:rPr>
                <w:rFonts w:hint="eastAsia" w:ascii="宋体" w:hAnsi="宋体"/>
                <w:szCs w:val="21"/>
                <w:lang w:eastAsia="zh-CN"/>
              </w:rPr>
              <w:t>线束（摩托车配件）的组装；摩托车配件的销售</w:t>
            </w:r>
            <w:r>
              <w:rPr>
                <w:rFonts w:hint="eastAsia" w:ascii="宋体" w:hAnsi="宋体"/>
                <w:szCs w:val="21"/>
              </w:rPr>
              <w:t>。</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lang w:eastAsia="zh-CN"/>
              </w:rPr>
              <w:t>线束（摩托车配件）的组装；摩托车配件的销售</w:t>
            </w:r>
            <w:r>
              <w:rPr>
                <w:rFonts w:hint="eastAsia" w:ascii="宋体" w:hAnsi="宋体"/>
                <w:szCs w:val="21"/>
              </w:rPr>
              <w:t>所涉及场所的相关环境管理活动。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lang w:eastAsia="zh-CN"/>
              </w:rPr>
              <w:t>线束（摩托车配件）的组装；摩托车配件的销售</w:t>
            </w:r>
            <w:r>
              <w:rPr>
                <w:rFonts w:hint="eastAsia" w:ascii="宋体" w:hAnsi="宋体"/>
                <w:szCs w:val="21"/>
              </w:rPr>
              <w:t>所涉及场所的相关职业健康安全管理活动。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 xml:space="preserve"> </w:t>
      </w:r>
      <w:r>
        <w:rPr>
          <w:rFonts w:hint="eastAsia"/>
          <w:b/>
          <w:color w:val="000000" w:themeColor="text1"/>
          <w:u w:val="single"/>
          <w:lang w:val="en-US" w:eastAsia="zh-CN"/>
        </w:rPr>
        <w:t xml:space="preserve"> 30 </w:t>
      </w:r>
      <w:r>
        <w:rPr>
          <w:rFonts w:hint="eastAsia"/>
          <w:b/>
          <w:color w:val="000000" w:themeColor="text1"/>
        </w:rPr>
        <w:t>天/严重不符合在</w:t>
      </w:r>
      <w:r>
        <w:rPr>
          <w:rFonts w:hint="eastAsia"/>
          <w:b/>
          <w:color w:val="000000" w:themeColor="text1"/>
          <w:lang w:val="en-US" w:eastAsia="zh-CN"/>
        </w:rPr>
        <w:t xml:space="preserve"> </w:t>
      </w:r>
      <w:r>
        <w:rPr>
          <w:rFonts w:hint="eastAsia"/>
          <w:b/>
          <w:color w:val="000000" w:themeColor="text1"/>
          <w:u w:val="single"/>
          <w:lang w:val="en-US" w:eastAsia="zh-CN"/>
        </w:rPr>
        <w:t xml:space="preserve"> 60  </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仿宋"/>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ascii="仿宋" w:hAnsi="仿宋" w:eastAsia="仿宋" w:cstheme="minorBidi"/>
          <w:color w:val="000000" w:themeColor="text1"/>
          <w:kern w:val="24"/>
          <w:sz w:val="28"/>
          <w:szCs w:val="28"/>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ascii="宋体" w:hAnsi="宋体"/>
        </w:rPr>
        <w:drawing>
          <wp:anchor distT="0" distB="0" distL="114300" distR="114300" simplePos="0" relativeHeight="251716608" behindDoc="0" locked="0" layoutInCell="1" allowOverlap="1">
            <wp:simplePos x="0" y="0"/>
            <wp:positionH relativeFrom="column">
              <wp:posOffset>1598930</wp:posOffset>
            </wp:positionH>
            <wp:positionV relativeFrom="paragraph">
              <wp:posOffset>334010</wp:posOffset>
            </wp:positionV>
            <wp:extent cx="681355" cy="424180"/>
            <wp:effectExtent l="0" t="0" r="4445" b="762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pic:cNvPicPr>
                  </pic:nvPicPr>
                  <pic:blipFill>
                    <a:blip r:embed="rId6"/>
                    <a:stretch>
                      <a:fillRect/>
                    </a:stretch>
                  </pic:blipFill>
                  <pic:spPr>
                    <a:xfrm>
                      <a:off x="0" y="0"/>
                      <a:ext cx="681355" cy="42418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sz w:val="24"/>
        </w:rPr>
        <w:drawing>
          <wp:anchor distT="0" distB="0" distL="114300" distR="114300" simplePos="0" relativeHeight="251714560" behindDoc="0" locked="0" layoutInCell="1" allowOverlap="1">
            <wp:simplePos x="0" y="0"/>
            <wp:positionH relativeFrom="column">
              <wp:posOffset>2144395</wp:posOffset>
            </wp:positionH>
            <wp:positionV relativeFrom="paragraph">
              <wp:posOffset>60325</wp:posOffset>
            </wp:positionV>
            <wp:extent cx="618490" cy="447040"/>
            <wp:effectExtent l="0" t="0" r="3810" b="10160"/>
            <wp:wrapNone/>
            <wp:docPr id="5"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AppData\Local\Temp\WeChat Files\5990baca09647c352f1321b31faa90a.jpg"/>
                    <pic:cNvPicPr>
                      <a:picLocks noChangeAspect="1"/>
                    </pic:cNvPicPr>
                  </pic:nvPicPr>
                  <pic:blipFill>
                    <a:blip r:embed="rId7"/>
                    <a:stretch>
                      <a:fillRect/>
                    </a:stretch>
                  </pic:blipFill>
                  <pic:spPr>
                    <a:xfrm>
                      <a:off x="0" y="0"/>
                      <a:ext cx="618490" cy="447040"/>
                    </a:xfrm>
                    <a:prstGeom prst="rect">
                      <a:avLst/>
                    </a:prstGeom>
                    <a:noFill/>
                    <a:ln>
                      <a:noFill/>
                    </a:ln>
                  </pic:spPr>
                </pic:pic>
              </a:graphicData>
            </a:graphic>
          </wp:anchor>
        </w:drawing>
      </w:r>
      <w:r>
        <w:rPr>
          <w:rFonts w:hint="eastAsia"/>
          <w:b/>
          <w:sz w:val="22"/>
          <w:szCs w:val="22"/>
        </w:rPr>
        <w:drawing>
          <wp:anchor distT="0" distB="0" distL="114300" distR="114300" simplePos="0" relativeHeight="251713536" behindDoc="0" locked="0" layoutInCell="1" allowOverlap="1">
            <wp:simplePos x="0" y="0"/>
            <wp:positionH relativeFrom="column">
              <wp:posOffset>1619250</wp:posOffset>
            </wp:positionH>
            <wp:positionV relativeFrom="paragraph">
              <wp:posOffset>85725</wp:posOffset>
            </wp:positionV>
            <wp:extent cx="464820" cy="351790"/>
            <wp:effectExtent l="0" t="0" r="5080" b="3810"/>
            <wp:wrapNone/>
            <wp:docPr id="3"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C:\Users\Administrator\Desktop\签名.jpg"/>
                    <pic:cNvPicPr>
                      <a:picLocks noChangeAspect="1"/>
                    </pic:cNvPicPr>
                  </pic:nvPicPr>
                  <pic:blipFill>
                    <a:blip r:embed="rId8"/>
                    <a:stretch>
                      <a:fillRect/>
                    </a:stretch>
                  </pic:blipFill>
                  <pic:spPr>
                    <a:xfrm>
                      <a:off x="0" y="0"/>
                      <a:ext cx="464820" cy="35179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highlight w:val="none"/>
        </w:rPr>
      </w:pPr>
      <w:r>
        <w:rPr>
          <w:rFonts w:hint="eastAsia"/>
          <w:b/>
          <w:color w:val="000000" w:themeColor="text1"/>
          <w:sz w:val="26"/>
          <w:szCs w:val="26"/>
        </w:rPr>
        <w:t>审核组组员（签名）：</w:t>
      </w:r>
    </w:p>
    <w:p>
      <w:pPr>
        <w:snapToGrid w:val="0"/>
        <w:spacing w:line="360" w:lineRule="auto"/>
        <w:ind w:firstLine="3080" w:firstLineChars="1461"/>
        <w:rPr>
          <w:rFonts w:hint="eastAsia" w:eastAsia="宋体"/>
          <w:b/>
          <w:color w:val="000000" w:themeColor="text1"/>
          <w:sz w:val="16"/>
          <w:szCs w:val="16"/>
          <w:highlight w:val="none"/>
          <w:lang w:val="en-US" w:eastAsia="zh-CN"/>
        </w:rPr>
      </w:pPr>
      <w:r>
        <w:rPr>
          <w:rFonts w:hint="eastAsia"/>
          <w:b/>
          <w:color w:val="000000" w:themeColor="text1"/>
          <w:highlight w:val="none"/>
        </w:rPr>
        <w:t>日期</w:t>
      </w:r>
      <w:r>
        <w:rPr>
          <w:rFonts w:hint="eastAsia"/>
          <w:b/>
          <w:color w:val="000000" w:themeColor="text1"/>
          <w:highlight w:val="none"/>
          <w:lang w:val="en-US" w:eastAsia="zh-CN"/>
        </w:rPr>
        <w:t>:</w:t>
      </w:r>
      <w:r>
        <w:rPr>
          <w:rFonts w:hint="eastAsia"/>
          <w:b/>
          <w:color w:val="000000" w:themeColor="text1"/>
          <w:highlight w:val="none"/>
        </w:rPr>
        <w:t>2021年06月2</w:t>
      </w:r>
      <w:r>
        <w:rPr>
          <w:rFonts w:hint="eastAsia"/>
          <w:b/>
          <w:color w:val="000000" w:themeColor="text1"/>
          <w:highlight w:val="none"/>
          <w:lang w:val="en-US" w:eastAsia="zh-CN"/>
        </w:rPr>
        <w:t>5</w:t>
      </w:r>
      <w:r>
        <w:rPr>
          <w:rFonts w:hint="eastAsia"/>
          <w:b/>
          <w:color w:val="000000" w:themeColor="text1"/>
          <w:highlight w:val="none"/>
        </w:rPr>
        <w:t>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sym w:font="Wingdings 2" w:char="0052"/>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EMS(  </w:t>
      </w:r>
      <w:r>
        <w:rPr>
          <w:rFonts w:hint="eastAsia"/>
          <w:b/>
          <w:color w:val="000000" w:themeColor="text1"/>
          <w:szCs w:val="21"/>
          <w:highlight w:val="none"/>
          <w:lang w:val="en-US" w:eastAsia="zh-CN"/>
        </w:rPr>
        <w:t xml:space="preserve">1 </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)个严重不符合，</w:t>
      </w:r>
      <w:r>
        <w:rPr>
          <w:rFonts w:hint="eastAsia"/>
          <w:b/>
          <w:color w:val="000000" w:themeColor="text1"/>
          <w:spacing w:val="-10"/>
          <w:szCs w:val="21"/>
          <w:highlight w:val="none"/>
        </w:rPr>
        <w:sym w:font="Wingdings 2" w:char="0052"/>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ascii="宋体" w:hAnsi="宋体"/>
        </w:rPr>
        <w:drawing>
          <wp:anchor distT="0" distB="0" distL="114300" distR="114300" simplePos="0" relativeHeight="251783168" behindDoc="0" locked="0" layoutInCell="1" allowOverlap="1">
            <wp:simplePos x="0" y="0"/>
            <wp:positionH relativeFrom="column">
              <wp:posOffset>918210</wp:posOffset>
            </wp:positionH>
            <wp:positionV relativeFrom="paragraph">
              <wp:posOffset>99695</wp:posOffset>
            </wp:positionV>
            <wp:extent cx="681355" cy="424180"/>
            <wp:effectExtent l="0" t="0" r="4445" b="7620"/>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pic:cNvPicPr>
                  </pic:nvPicPr>
                  <pic:blipFill>
                    <a:blip r:embed="rId6"/>
                    <a:stretch>
                      <a:fillRect/>
                    </a:stretch>
                  </pic:blipFill>
                  <pic:spPr>
                    <a:xfrm>
                      <a:off x="0" y="0"/>
                      <a:ext cx="681355" cy="42418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highlight w:val="none"/>
        </w:rPr>
        <w:t xml:space="preserve">    年</w:t>
      </w:r>
      <w:r>
        <w:rPr>
          <w:rFonts w:hint="eastAsia"/>
          <w:b/>
          <w:color w:val="000000" w:themeColor="text1"/>
          <w:szCs w:val="21"/>
          <w:highlight w:val="none"/>
          <w:lang w:val="en-US" w:eastAsia="zh-CN"/>
        </w:rPr>
        <w:t xml:space="preserve">   </w:t>
      </w:r>
      <w:r>
        <w:rPr>
          <w:rFonts w:hint="eastAsia"/>
          <w:b/>
          <w:color w:val="000000" w:themeColor="text1"/>
          <w:szCs w:val="21"/>
          <w:highlight w:val="none"/>
        </w:rPr>
        <w:t>月</w:t>
      </w:r>
      <w:r>
        <w:rPr>
          <w:rFonts w:hint="eastAsia"/>
          <w:b/>
          <w:color w:val="000000" w:themeColor="text1"/>
          <w:szCs w:val="21"/>
          <w:highlight w:val="none"/>
          <w:lang w:val="en-US" w:eastAsia="zh-CN"/>
        </w:rPr>
        <w:t xml:space="preserve">  </w:t>
      </w:r>
      <w:r>
        <w:rPr>
          <w:rFonts w:hint="eastAsia"/>
          <w:b/>
          <w:color w:val="000000" w:themeColor="text1"/>
          <w:szCs w:val="21"/>
          <w:highlight w:val="none"/>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7DB34D9"/>
    <w:rsid w:val="48BA2A29"/>
    <w:rsid w:val="629F1E0F"/>
    <w:rsid w:val="68612A8D"/>
    <w:rsid w:val="6A6310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7</TotalTime>
  <ScaleCrop>false</ScaleCrop>
  <LinksUpToDate>false</LinksUpToDate>
  <CharactersWithSpaces>5057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2021-06-25T08:26:35Z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