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0608-2021-QEO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重庆市璧山区渝峰摩托车配件有限公司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Q:19.11.02,29.04.00</w:t>
            </w:r>
          </w:p>
          <w:p>
            <w:pPr>
              <w:spacing w:line="240" w:lineRule="exact"/>
              <w:jc w:val="center"/>
              <w:rPr>
                <w:b/>
                <w:color w:val="000000"/>
                <w:sz w:val="20"/>
                <w:szCs w:val="20"/>
              </w:rPr>
            </w:pPr>
            <w:r>
              <w:rPr>
                <w:b/>
                <w:color w:val="000000"/>
                <w:sz w:val="20"/>
                <w:szCs w:val="20"/>
              </w:rPr>
              <w:t>E:19.11.02,29.04.00</w:t>
            </w:r>
          </w:p>
          <w:p>
            <w:pPr>
              <w:spacing w:line="240" w:lineRule="exact"/>
              <w:jc w:val="center"/>
              <w:rPr>
                <w:b/>
                <w:color w:val="000000"/>
                <w:sz w:val="20"/>
                <w:szCs w:val="20"/>
              </w:rPr>
            </w:pPr>
            <w:r>
              <w:rPr>
                <w:b/>
                <w:color w:val="000000"/>
                <w:sz w:val="20"/>
                <w:szCs w:val="20"/>
              </w:rPr>
              <w:t>O:19.11.02,29.04.00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1055"/>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2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8"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重庆市璧山区渝峰摩托车配件有限公司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2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8"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重庆市璧山区璧城街道工业园区金剑路366号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402760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2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8"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2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8"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重庆市璧山区璧城街道工业园区金剑路366号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402760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2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55" w:type="dxa"/>
          </w:tcPr>
          <w:p>
            <w:pPr>
              <w:spacing w:line="280" w:lineRule="exact"/>
              <w:rPr>
                <w:rFonts w:ascii="宋体"/>
                <w:b/>
                <w:color w:val="000000"/>
                <w:sz w:val="20"/>
                <w:szCs w:val="20"/>
              </w:rPr>
            </w:pPr>
            <w:bookmarkStart w:id="16" w:name="联系人Add1"/>
            <w:r>
              <w:rPr>
                <w:rFonts w:ascii="宋体"/>
                <w:b/>
                <w:color w:val="000000"/>
                <w:sz w:val="20"/>
                <w:szCs w:val="20"/>
              </w:rPr>
              <w:t>殷满秀</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023-85293313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55" w:type="dxa"/>
          </w:tcPr>
          <w:p>
            <w:pPr>
              <w:rPr>
                <w:rFonts w:ascii="宋体"/>
                <w:b/>
                <w:color w:val="000000"/>
                <w:sz w:val="20"/>
                <w:szCs w:val="20"/>
              </w:rPr>
            </w:pPr>
            <w:bookmarkStart w:id="19" w:name="法人"/>
            <w:r>
              <w:rPr>
                <w:rFonts w:ascii="宋体"/>
                <w:b/>
                <w:color w:val="000000"/>
                <w:sz w:val="20"/>
                <w:szCs w:val="20"/>
              </w:rPr>
              <w:t>牛岩山</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殷满秀</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243571734@qq.com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8" w:type="dxa"/>
            <w:gridSpan w:val="5"/>
          </w:tcPr>
          <w:p>
            <w:pPr>
              <w:rPr>
                <w:rFonts w:ascii="宋体"/>
                <w:b/>
                <w:color w:val="000000"/>
                <w:sz w:val="20"/>
                <w:szCs w:val="20"/>
              </w:rPr>
            </w:pPr>
            <w:r>
              <w:rPr>
                <w:rFonts w:hint="eastAsia" w:ascii="宋体" w:hAnsi="宋体" w:eastAsia="宋体"/>
                <w:b/>
                <w:color w:val="000000"/>
                <w:spacing w:val="-8"/>
                <w:sz w:val="20"/>
                <w:szCs w:val="20"/>
                <w:lang w:val="en-US" w:eastAsia="zh-CN"/>
              </w:rPr>
              <w:t>2021年3月1日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2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8"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Q：线束（摩托车配件）的组装；摩托车配件的销售</w:t>
            </w:r>
          </w:p>
          <w:p>
            <w:pPr>
              <w:spacing w:line="400" w:lineRule="exact"/>
              <w:rPr>
                <w:rFonts w:ascii="宋体" w:hAnsi="宋体"/>
                <w:b/>
                <w:color w:val="000000"/>
                <w:sz w:val="20"/>
                <w:szCs w:val="20"/>
              </w:rPr>
            </w:pPr>
            <w:r>
              <w:rPr>
                <w:rFonts w:ascii="宋体" w:hAnsi="宋体"/>
                <w:b/>
                <w:color w:val="000000"/>
                <w:sz w:val="20"/>
                <w:szCs w:val="20"/>
              </w:rPr>
              <w:t>E：线束（摩托车配件）的组装；摩托车配件的销售所涉及场所的相关环境管理活动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O：线束（摩托车配件）的组装；摩托车配件的销售所涉及场所的相关职业健康安全管理活动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29"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8"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Q：19.11.02;29.04.00</w:t>
            </w:r>
          </w:p>
          <w:p>
            <w:pPr>
              <w:spacing w:line="280" w:lineRule="exact"/>
              <w:rPr>
                <w:rFonts w:ascii="宋体"/>
                <w:b/>
                <w:color w:val="000000"/>
                <w:sz w:val="20"/>
                <w:szCs w:val="20"/>
              </w:rPr>
            </w:pPr>
            <w:r>
              <w:rPr>
                <w:rFonts w:ascii="宋体"/>
                <w:b/>
                <w:color w:val="000000"/>
                <w:sz w:val="20"/>
                <w:szCs w:val="20"/>
              </w:rPr>
              <w:t>E：19.11.02;29.04.00</w:t>
            </w:r>
          </w:p>
          <w:p>
            <w:pPr>
              <w:spacing w:line="280" w:lineRule="exact"/>
              <w:rPr>
                <w:rFonts w:ascii="宋体"/>
                <w:b/>
                <w:color w:val="000000"/>
                <w:sz w:val="20"/>
                <w:szCs w:val="20"/>
              </w:rPr>
            </w:pPr>
            <w:r>
              <w:rPr>
                <w:rFonts w:ascii="宋体"/>
                <w:b/>
                <w:color w:val="000000"/>
                <w:sz w:val="20"/>
                <w:szCs w:val="20"/>
              </w:rPr>
              <w:t>O：19.11.02;29.04.00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82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8"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Cs w:val="21"/>
          <w:lang w:val="en-US" w:eastAsia="zh-CN"/>
        </w:rPr>
        <w:t>行政部</w:t>
      </w:r>
      <w:r>
        <w:rPr>
          <w:rFonts w:hint="eastAsia"/>
          <w:szCs w:val="21"/>
        </w:rPr>
        <w:t>、</w:t>
      </w:r>
      <w:r>
        <w:rPr>
          <w:rFonts w:hint="eastAsia"/>
          <w:szCs w:val="21"/>
          <w:lang w:val="en-US" w:eastAsia="zh-CN"/>
        </w:rPr>
        <w:t>生技</w:t>
      </w:r>
      <w:r>
        <w:rPr>
          <w:rFonts w:hint="eastAsia"/>
          <w:szCs w:val="21"/>
        </w:rPr>
        <w:t>部、</w:t>
      </w:r>
      <w:r>
        <w:rPr>
          <w:rFonts w:hint="eastAsia"/>
          <w:szCs w:val="21"/>
          <w:lang w:val="en-US" w:eastAsia="zh-CN"/>
        </w:rPr>
        <w:t>供销</w:t>
      </w:r>
      <w:r>
        <w:rPr>
          <w:rFonts w:hint="eastAsia"/>
          <w:szCs w:val="21"/>
        </w:rPr>
        <w:t>部</w:t>
      </w:r>
      <w:r>
        <w:rPr>
          <w:rFonts w:hint="eastAsia" w:ascii="宋体" w:hAnsi="宋体"/>
          <w:szCs w:val="21"/>
        </w:rPr>
        <w:t>。</w:t>
      </w:r>
    </w:p>
    <w:p>
      <w:pPr>
        <w:spacing w:line="300" w:lineRule="auto"/>
        <w:ind w:firstLine="269" w:firstLineChars="134"/>
        <w:rPr>
          <w:rFonts w:hint="eastAsia" w:eastAsia="宋体"/>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）是否有特殊过程</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）是否有外包过程</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lang w:eastAsia="zh-CN"/>
              </w:rPr>
              <w:t>线束（摩托车配件）的组装；摩托车配件的销售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公司部门设置：行政部、生技部、供销部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质量管理部门：生技部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lang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highlight w:val="none"/>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受审核方位于：</w:t>
            </w:r>
            <w:r>
              <w:rPr>
                <w:rFonts w:hint="eastAsia"/>
                <w:highlight w:val="none"/>
                <w:lang w:eastAsia="zh-CN"/>
              </w:rPr>
              <w:t>重庆市璧山区璧城街道工业园区金剑路366号</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w:t>
            </w:r>
            <w:r>
              <w:rPr>
                <w:rFonts w:hint="eastAsia" w:ascii="宋体" w:hAnsi="宋体" w:eastAsia="宋体" w:cs="宋体"/>
                <w:color w:val="000000"/>
                <w:spacing w:val="-10"/>
                <w:sz w:val="20"/>
                <w:szCs w:val="20"/>
                <w:highlight w:val="none"/>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受审核方现场是否属于高风险地区</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eastAsia="宋体" w:cs="宋体"/>
                <w:color w:val="000000"/>
                <w:sz w:val="20"/>
                <w:szCs w:val="20"/>
                <w:highlight w:val="none"/>
              </w:rPr>
              <w:t>■</w:t>
            </w:r>
            <w:r>
              <w:rPr>
                <w:rFonts w:hint="eastAsia" w:ascii="宋体" w:hAnsi="宋体"/>
                <w:color w:val="000000"/>
                <w:sz w:val="20"/>
                <w:szCs w:val="20"/>
                <w:highlight w:val="none"/>
              </w:rPr>
              <w:t>否</w:t>
            </w:r>
          </w:p>
          <w:p>
            <w:pPr>
              <w:tabs>
                <w:tab w:val="left" w:pos="360"/>
              </w:tabs>
              <w:ind w:left="357" w:hanging="357"/>
              <w:rPr>
                <w:rFonts w:ascii="宋体"/>
                <w:b/>
                <w:color w:val="000000"/>
                <w:sz w:val="20"/>
                <w:szCs w:val="20"/>
                <w:highlight w:val="none"/>
              </w:rPr>
            </w:pPr>
            <w:r>
              <w:rPr>
                <w:rFonts w:hint="eastAsia" w:ascii="宋体" w:hAnsi="宋体"/>
                <w:color w:val="000000"/>
                <w:sz w:val="20"/>
                <w:szCs w:val="20"/>
                <w:highlight w:val="none"/>
              </w:rPr>
              <w:t>受审核方现场周边是否具有危险性场所，如化工厂、加油站等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有</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w:t>
            </w:r>
            <w:r>
              <w:rPr>
                <w:rFonts w:hint="eastAsia" w:ascii="宋体"/>
                <w:color w:val="000000"/>
                <w:sz w:val="20"/>
                <w:szCs w:val="20"/>
                <w:highlight w:val="none"/>
              </w:rPr>
              <w:t>产许可证是否有效：</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szCs w:val="21"/>
                <w:highlight w:val="none"/>
                <w:lang w:val="en-US"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eastAsia="宋体"/>
                <w:szCs w:val="21"/>
                <w:lang w:val="en-US" w:eastAsia="zh-CN"/>
              </w:rPr>
              <w:t>客户要求及主机厂提供的企业标准（Q/CQZS J0301-202</w:t>
            </w:r>
            <w:r>
              <w:rPr>
                <w:rFonts w:hint="eastAsia" w:eastAsia="宋体"/>
                <w:szCs w:val="21"/>
                <w:highlight w:val="none"/>
                <w:lang w:val="en-US" w:eastAsia="zh-CN"/>
              </w:rPr>
              <w:t>1）等</w:t>
            </w:r>
            <w:r>
              <w:rPr>
                <w:rFonts w:hint="eastAsia"/>
                <w:szCs w:val="21"/>
                <w:highlight w:val="none"/>
                <w:lang w:val="en-US" w:eastAsia="zh-CN"/>
              </w:rPr>
              <w:t>。</w:t>
            </w:r>
          </w:p>
          <w:p>
            <w:pPr>
              <w:rPr>
                <w:rFonts w:ascii="宋体"/>
                <w:color w:val="000000"/>
                <w:spacing w:val="-10"/>
                <w:sz w:val="20"/>
                <w:szCs w:val="20"/>
              </w:rPr>
            </w:pPr>
            <w:r>
              <w:rPr>
                <w:rFonts w:hint="eastAsia" w:ascii="宋体" w:hAnsi="宋体" w:cs="Times New Roman"/>
                <w:szCs w:val="21"/>
                <w:highlight w:val="none"/>
                <w:lang w:eastAsia="zh-CN"/>
              </w:rPr>
              <w:t>■</w:t>
            </w:r>
            <w:r>
              <w:rPr>
                <w:rFonts w:hint="eastAsia" w:ascii="宋体" w:hAnsi="宋体" w:eastAsia="宋体" w:cs="Times New Roman"/>
                <w:szCs w:val="21"/>
                <w:highlight w:val="none"/>
                <w:lang w:eastAsia="zh-CN"/>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环境影响评价报告与企业申请认证范围是否一致</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是否提供近期环境监测报告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rPr>
                <w:rFonts w:ascii="宋体"/>
                <w:color w:val="000000"/>
                <w:sz w:val="20"/>
                <w:szCs w:val="20"/>
                <w:highlight w:val="none"/>
              </w:rPr>
            </w:pPr>
            <w:r>
              <w:rPr>
                <w:rFonts w:hint="eastAsia" w:ascii="宋体"/>
                <w:color w:val="000000"/>
                <w:sz w:val="20"/>
                <w:szCs w:val="20"/>
                <w:highlight w:val="none"/>
              </w:rPr>
              <w:t>环境执行标准：</w:t>
            </w:r>
            <w:r>
              <w:rPr>
                <w:rFonts w:hint="eastAsia" w:ascii="宋体" w:hAnsi="宋体" w:eastAsia="宋体" w:cs="Times New Roman"/>
                <w:szCs w:val="21"/>
                <w:highlight w:val="none"/>
              </w:rPr>
              <w:t>污水排入城镇下水道水质标准（GB/T 31962-2015）、《工业企业厂界环境噪声排放标准》（GB12348-2008）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ascii="宋体"/>
                <w:color w:val="000000"/>
                <w:sz w:val="20"/>
                <w:szCs w:val="20"/>
              </w:rPr>
            </w:pPr>
            <w:r>
              <w:rPr>
                <w:rFonts w:hint="eastAsia" w:ascii="宋体"/>
                <w:color w:val="000000"/>
                <w:sz w:val="20"/>
                <w:szCs w:val="20"/>
              </w:rPr>
              <w:t>执行标准：</w:t>
            </w:r>
            <w:r>
              <w:rPr>
                <w:rFonts w:hint="eastAsia" w:ascii="宋体" w:hAnsi="Times New Roman" w:cs="Times New Roman"/>
                <w:color w:val="000000"/>
                <w:sz w:val="20"/>
                <w:szCs w:val="20"/>
              </w:rPr>
              <w:t>中华人民共和国安全消防法、中华人民共和国劳动合同法、中华人民共和国安全生产法等</w:t>
            </w:r>
            <w:r>
              <w:rPr>
                <w:rFonts w:hint="eastAsia" w:ascii="宋体" w:hAnsi="Times New Roman"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ascii="宋体"/>
          <w:b/>
          <w:color w:val="000000"/>
          <w:spacing w:val="-6"/>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atLeas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摩托车配件（线束）的组装工艺：</w:t>
            </w:r>
          </w:p>
          <w:p>
            <w:pPr>
              <w:spacing w:line="400" w:lineRule="atLeas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零部件检验—下料—冲压端子—中接—配线组合、组缠—检验—包装入库</w:t>
            </w:r>
          </w:p>
          <w:p>
            <w:pPr>
              <w:spacing w:line="400" w:lineRule="atLeas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摩托车配件销售流程：</w:t>
            </w:r>
          </w:p>
          <w:p>
            <w:pPr>
              <w:spacing w:line="400" w:lineRule="atLeast"/>
              <w:jc w:val="left"/>
              <w:rPr>
                <w:rFonts w:ascii="宋体"/>
                <w:color w:val="000000"/>
                <w:sz w:val="20"/>
                <w:szCs w:val="20"/>
              </w:rPr>
            </w:pPr>
            <w:r>
              <w:rPr>
                <w:rFonts w:hint="eastAsia" w:ascii="宋体" w:hAnsi="宋体" w:eastAsia="宋体" w:cs="Times New Roman"/>
                <w:szCs w:val="21"/>
                <w:highlight w:val="none"/>
                <w:lang w:val="en-US" w:eastAsia="zh-CN"/>
              </w:rPr>
              <w:t>客户订单合同---采购产品---销售---客户验收---售后</w:t>
            </w:r>
            <w:r>
              <w:rPr>
                <w:rFonts w:hint="eastAsia" w:ascii="宋体" w:hAnsi="宋体" w:cs="Times New Roman"/>
                <w:szCs w:val="21"/>
                <w:highlight w:val="none"/>
                <w:lang w:val="en-US" w:eastAsia="zh-CN"/>
              </w:rPr>
              <w:t>服务</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pacing w:line="400" w:lineRule="atLeast"/>
              <w:jc w:val="left"/>
              <w:rPr>
                <w:rFonts w:ascii="宋体"/>
                <w:color w:val="000000"/>
                <w:sz w:val="21"/>
                <w:szCs w:val="21"/>
              </w:rPr>
            </w:pPr>
            <w:r>
              <w:rPr>
                <w:rFonts w:hint="eastAsia" w:ascii="宋体" w:hAnsi="宋体"/>
                <w:color w:val="000000"/>
                <w:sz w:val="21"/>
                <w:szCs w:val="21"/>
              </w:rPr>
              <w:t>关键过程有：</w:t>
            </w:r>
            <w:r>
              <w:rPr>
                <w:rFonts w:hint="eastAsia" w:ascii="宋体" w:hAnsi="宋体" w:cs="宋体"/>
                <w:sz w:val="21"/>
                <w:szCs w:val="21"/>
                <w:highlight w:val="none"/>
                <w:lang w:val="en-US" w:eastAsia="zh-CN"/>
              </w:rPr>
              <w:t>配线组合、组缠、</w:t>
            </w:r>
            <w:r>
              <w:rPr>
                <w:rFonts w:hint="eastAsia" w:ascii="宋体" w:hAnsi="宋体" w:eastAsia="宋体" w:cs="Times New Roman"/>
                <w:sz w:val="21"/>
                <w:szCs w:val="21"/>
                <w:highlight w:val="none"/>
                <w:lang w:val="en-US" w:eastAsia="zh-CN"/>
              </w:rPr>
              <w:t>销售</w:t>
            </w:r>
            <w:r>
              <w:rPr>
                <w:rFonts w:hint="eastAsia" w:ascii="宋体" w:hAnsi="宋体" w:cs="宋体"/>
                <w:sz w:val="21"/>
                <w:szCs w:val="21"/>
                <w:highlight w:val="none"/>
                <w:lang w:val="en-US" w:eastAsia="zh-CN"/>
              </w:rPr>
              <w:t>过程</w:t>
            </w:r>
            <w:r>
              <w:rPr>
                <w:rFonts w:hint="eastAsia" w:ascii="宋体" w:hAnsi="宋体" w:eastAsia="宋体" w:cs="Times New Roman"/>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1"/>
                <w:szCs w:val="21"/>
              </w:rPr>
            </w:pPr>
            <w:r>
              <w:rPr>
                <w:rFonts w:hint="eastAsia" w:ascii="宋体" w:hAnsi="宋体"/>
                <w:color w:val="000000"/>
                <w:sz w:val="21"/>
                <w:szCs w:val="21"/>
              </w:rPr>
              <w:t>针对关键过程建立的控制文件有</w:t>
            </w:r>
            <w:r>
              <w:rPr>
                <w:rFonts w:hint="eastAsia" w:ascii="宋体" w:hAnsi="宋体" w:eastAsia="宋体" w:cs="Times New Roman"/>
                <w:color w:val="000000"/>
                <w:sz w:val="21"/>
                <w:szCs w:val="21"/>
              </w:rPr>
              <w:t>：生产和服务提供过程控制程序、顾客满意度</w:t>
            </w:r>
            <w:r>
              <w:rPr>
                <w:rFonts w:hint="eastAsia" w:ascii="宋体" w:hAnsi="宋体" w:eastAsia="宋体" w:cs="Times New Roman"/>
                <w:color w:val="000000"/>
                <w:sz w:val="21"/>
                <w:szCs w:val="21"/>
                <w:lang w:val="en-US" w:eastAsia="zh-CN"/>
              </w:rPr>
              <w:t>管理制度</w:t>
            </w:r>
            <w:r>
              <w:rPr>
                <w:rFonts w:hint="eastAsia" w:ascii="宋体" w:hAnsi="宋体" w:eastAsia="宋体" w:cs="Times New Roman"/>
                <w:color w:val="000000"/>
                <w:sz w:val="21"/>
                <w:szCs w:val="21"/>
              </w:rPr>
              <w:t>等</w:t>
            </w:r>
            <w:r>
              <w:rPr>
                <w:rFonts w:hint="eastAsia" w:ascii="宋体" w:hAnsi="宋体" w:eastAsia="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1"/>
                <w:szCs w:val="21"/>
                <w:highlight w:val="none"/>
              </w:rPr>
            </w:pPr>
            <w:r>
              <w:rPr>
                <w:rFonts w:hint="eastAsia" w:ascii="宋体" w:hAnsi="宋体"/>
                <w:color w:val="000000"/>
                <w:sz w:val="21"/>
                <w:szCs w:val="21"/>
                <w:highlight w:val="none"/>
              </w:rPr>
              <w:t>需要确认过程：</w:t>
            </w:r>
            <w:r>
              <w:rPr>
                <w:rFonts w:hint="eastAsia" w:ascii="宋体" w:hAnsi="宋体" w:eastAsia="宋体" w:cs="Times New Roman"/>
                <w:sz w:val="21"/>
                <w:szCs w:val="21"/>
                <w:highlight w:val="none"/>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1"/>
                <w:szCs w:val="21"/>
                <w:highlight w:val="none"/>
              </w:rPr>
            </w:pPr>
            <w:r>
              <w:rPr>
                <w:rFonts w:hint="eastAsia" w:ascii="宋体" w:hAnsi="宋体"/>
                <w:color w:val="000000"/>
                <w:spacing w:val="-10"/>
                <w:sz w:val="21"/>
                <w:szCs w:val="21"/>
                <w:highlight w:val="none"/>
              </w:rPr>
              <w:t>是</w:t>
            </w:r>
            <w:r>
              <w:rPr>
                <w:rFonts w:hint="eastAsia" w:ascii="宋体"/>
                <w:color w:val="000000"/>
                <w:sz w:val="21"/>
                <w:szCs w:val="21"/>
                <w:highlight w:val="none"/>
              </w:rPr>
              <w:t>否明确了过程的确认方法</w:t>
            </w: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是</w:t>
            </w:r>
            <w:r>
              <w:rPr>
                <w:rFonts w:hint="eastAsia" w:ascii="宋体" w:hAnsi="宋体"/>
                <w:color w:val="000000"/>
                <w:spacing w:val="-10"/>
                <w:sz w:val="21"/>
                <w:szCs w:val="21"/>
                <w:highlight w:val="none"/>
              </w:rPr>
              <w:t>□</w:t>
            </w:r>
            <w:r>
              <w:rPr>
                <w:rFonts w:hint="eastAsia" w:ascii="宋体" w:hAnsi="宋体"/>
                <w:color w:val="000000"/>
                <w:sz w:val="21"/>
                <w:szCs w:val="21"/>
                <w:highlight w:val="none"/>
              </w:rPr>
              <w:t>否</w:t>
            </w:r>
            <w:r>
              <w:rPr>
                <w:rFonts w:hint="eastAsia" w:ascii="宋体" w:hAnsi="宋体"/>
                <w:color w:val="000000"/>
                <w:spacing w:val="-10"/>
                <w:sz w:val="21"/>
                <w:szCs w:val="21"/>
                <w:highlight w:val="none"/>
              </w:rPr>
              <w:t>是</w:t>
            </w:r>
            <w:r>
              <w:rPr>
                <w:rFonts w:hint="eastAsia" w:ascii="宋体"/>
                <w:color w:val="000000"/>
                <w:sz w:val="21"/>
                <w:szCs w:val="21"/>
                <w:highlight w:val="none"/>
              </w:rPr>
              <w:t>否明确了过程的确认准则</w:t>
            </w: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是</w:t>
            </w:r>
            <w:r>
              <w:rPr>
                <w:rFonts w:hint="eastAsia" w:ascii="宋体" w:hAnsi="宋体"/>
                <w:color w:val="000000"/>
                <w:spacing w:val="-10"/>
                <w:sz w:val="21"/>
                <w:szCs w:val="21"/>
                <w:highlight w:val="none"/>
              </w:rPr>
              <w:t>□</w:t>
            </w:r>
            <w:r>
              <w:rPr>
                <w:rFonts w:hint="eastAsia" w:ascii="宋体" w:hAnsi="宋体"/>
                <w:color w:val="00000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1"/>
                <w:szCs w:val="21"/>
                <w:highlight w:val="none"/>
                <w:lang w:val="en-US" w:eastAsia="zh-CN"/>
              </w:rPr>
            </w:pPr>
            <w:r>
              <w:rPr>
                <w:rFonts w:hint="eastAsia" w:ascii="宋体" w:hAnsi="宋体"/>
                <w:color w:val="000000"/>
                <w:sz w:val="21"/>
                <w:szCs w:val="21"/>
                <w:highlight w:val="none"/>
              </w:rPr>
              <w:t>外包过程有：</w:t>
            </w:r>
            <w:r>
              <w:rPr>
                <w:rFonts w:hint="eastAsia" w:ascii="宋体" w:hAnsi="宋体"/>
                <w:color w:val="000000"/>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1"/>
                <w:szCs w:val="21"/>
              </w:rPr>
            </w:pPr>
            <w:r>
              <w:rPr>
                <w:rFonts w:hint="eastAsia" w:ascii="宋体" w:hAnsi="宋体"/>
                <w:color w:val="000000"/>
                <w:sz w:val="21"/>
                <w:szCs w:val="21"/>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1"/>
                <w:szCs w:val="21"/>
                <w:lang w:eastAsia="zh-CN"/>
              </w:rPr>
            </w:pPr>
            <w:r>
              <w:rPr>
                <w:rFonts w:hint="eastAsia" w:ascii="宋体" w:hAnsi="宋体"/>
                <w:color w:val="000000"/>
                <w:spacing w:val="-10"/>
                <w:sz w:val="21"/>
                <w:szCs w:val="21"/>
              </w:rPr>
              <w:t>主要设备：</w:t>
            </w:r>
            <w:r>
              <w:rPr>
                <w:rFonts w:hint="eastAsia" w:ascii="宋体" w:hAnsi="宋体" w:cs="宋体"/>
                <w:sz w:val="21"/>
                <w:szCs w:val="21"/>
                <w:highlight w:val="none"/>
              </w:rPr>
              <w:t>电脑、办公设备、电脑剥线机 、铜带机、端子冲压机 、热合机 、线束通断测试仪等</w:t>
            </w:r>
            <w:r>
              <w:rPr>
                <w:rFonts w:hint="eastAsia" w:ascii="宋体" w:hAnsi="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1"/>
                <w:szCs w:val="21"/>
              </w:rPr>
            </w:pPr>
            <w:r>
              <w:rPr>
                <w:rFonts w:hint="eastAsia" w:ascii="宋体" w:hAnsi="宋体"/>
                <w:color w:val="000000"/>
                <w:sz w:val="21"/>
                <w:szCs w:val="21"/>
              </w:rPr>
              <w:t>设备是否满足要求</w:t>
            </w:r>
            <w:r>
              <w:rPr>
                <w:rFonts w:hint="eastAsia" w:ascii="宋体" w:hAnsi="宋体"/>
                <w:color w:val="000000"/>
                <w:sz w:val="21"/>
                <w:szCs w:val="21"/>
                <w:lang w:eastAsia="zh-CN"/>
              </w:rPr>
              <w:t>■</w:t>
            </w:r>
            <w:r>
              <w:rPr>
                <w:rFonts w:hint="eastAsia" w:ascii="宋体" w:hAnsi="宋体"/>
                <w:color w:val="000000"/>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1"/>
                <w:szCs w:val="21"/>
                <w:lang w:val="en-US" w:eastAsia="zh-CN"/>
              </w:rPr>
            </w:pPr>
            <w:r>
              <w:rPr>
                <w:rFonts w:hint="eastAsia" w:ascii="宋体" w:hAnsi="宋体"/>
                <w:color w:val="000000"/>
                <w:sz w:val="21"/>
                <w:szCs w:val="21"/>
              </w:rPr>
              <w:t>特种设备</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1"/>
                <w:szCs w:val="21"/>
              </w:rPr>
            </w:pPr>
            <w:r>
              <w:rPr>
                <w:rFonts w:hint="eastAsia" w:ascii="宋体" w:hAnsi="宋体"/>
                <w:color w:val="000000"/>
                <w:sz w:val="21"/>
                <w:szCs w:val="21"/>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sz w:val="21"/>
                <w:szCs w:val="21"/>
                <w:highlight w:val="none"/>
              </w:rPr>
            </w:pPr>
            <w:r>
              <w:rPr>
                <w:rFonts w:hint="eastAsia" w:ascii="宋体"/>
                <w:color w:val="000000"/>
                <w:sz w:val="21"/>
                <w:szCs w:val="21"/>
                <w:highlight w:val="none"/>
              </w:rPr>
              <w:t>监视和测量设备（请简述主要监视和测量设备）：</w:t>
            </w:r>
            <w:r>
              <w:rPr>
                <w:rFonts w:hint="eastAsia" w:ascii="宋体" w:hAnsi="宋体"/>
                <w:sz w:val="21"/>
                <w:szCs w:val="21"/>
                <w:highlight w:val="none"/>
              </w:rPr>
              <w:t>检测设备</w:t>
            </w:r>
            <w:r>
              <w:rPr>
                <w:rFonts w:hint="eastAsia" w:ascii="宋体" w:hAnsi="宋体"/>
                <w:sz w:val="21"/>
                <w:szCs w:val="21"/>
                <w:highlight w:val="none"/>
                <w:lang w:val="en-US" w:eastAsia="zh-CN"/>
              </w:rPr>
              <w:t>有</w:t>
            </w:r>
            <w:r>
              <w:rPr>
                <w:rFonts w:hint="eastAsia" w:ascii="宋体" w:hAnsi="宋体" w:cs="Times New Roman"/>
                <w:sz w:val="21"/>
                <w:szCs w:val="21"/>
                <w:highlight w:val="none"/>
                <w:lang w:val="en-US" w:eastAsia="zh-CN"/>
              </w:rPr>
              <w:t>数显卡尺、外径千分尺、线束检测仪、拉力测试机等。能提供数显卡尺、外径千分尺、线束检测仪的有效校准证书，其中拉力测试机未见有效校准证书。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检测设备是否满足要求□是</w:t>
            </w:r>
            <w:r>
              <w:rPr>
                <w:rFonts w:hint="eastAsia" w:ascii="宋体"/>
                <w:color w:val="000000"/>
                <w:sz w:val="20"/>
                <w:szCs w:val="20"/>
                <w:highlight w:val="none"/>
                <w:lang w:eastAsia="zh-CN"/>
              </w:rPr>
              <w:t>■</w:t>
            </w:r>
            <w:r>
              <w:rPr>
                <w:rFonts w:hint="eastAsia" w:asci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重要环境因素控制情况（EMS适用）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9479" w:type="dxa"/>
            <w:gridSpan w:val="2"/>
            <w:vAlign w:val="top"/>
          </w:tcPr>
          <w:p>
            <w:pPr>
              <w:spacing w:line="400" w:lineRule="exact"/>
              <w:rPr>
                <w:rFonts w:hint="eastAsia" w:ascii="宋体" w:hAnsi="Times New Roman" w:eastAsia="宋体" w:cs="Times New Roman"/>
                <w:color w:val="000000"/>
                <w:sz w:val="20"/>
                <w:szCs w:val="20"/>
                <w:lang w:val="en-US" w:eastAsia="zh-CN"/>
              </w:rPr>
            </w:pPr>
            <w:r>
              <w:rPr>
                <w:rFonts w:hint="eastAsia" w:ascii="宋体" w:hAnsi="Times New Roman" w:eastAsia="宋体" w:cs="Times New Roman"/>
                <w:color w:val="000000"/>
                <w:sz w:val="20"/>
                <w:szCs w:val="20"/>
              </w:rPr>
              <w:t>重要环境因素有：</w:t>
            </w:r>
            <w:r>
              <w:rPr>
                <w:rFonts w:hint="eastAsia"/>
                <w:szCs w:val="21"/>
                <w:highlight w:val="none"/>
              </w:rPr>
              <w:t>潜在火灾、固体废弃物</w:t>
            </w:r>
            <w:r>
              <w:rPr>
                <w:rFonts w:hint="eastAsia"/>
                <w:szCs w:val="21"/>
                <w:highlight w:val="none"/>
                <w:lang w:val="en-US" w:eastAsia="zh-CN"/>
              </w:rPr>
              <w:t>排放</w:t>
            </w:r>
            <w:r>
              <w:rPr>
                <w:rFonts w:hint="eastAsia" w:ascii="宋体"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针对重要环境因素建立了运行控制程序：有（1）环境因素的识别与评价控制程序；（2）环境运行控制程序。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w:t>
            </w:r>
            <w:r>
              <w:rPr>
                <w:rFonts w:hint="eastAsia" w:ascii="宋体" w:hAnsi="Times New Roman" w:eastAsia="宋体" w:cs="Times New Roman"/>
                <w:color w:val="000000"/>
                <w:sz w:val="20"/>
                <w:szCs w:val="20"/>
              </w:rPr>
              <w:t>要求：</w:t>
            </w:r>
            <w:r>
              <w:rPr>
                <w:rFonts w:hint="eastAsia" w:ascii="宋体" w:hAnsi="Times New Roman" w:eastAsia="宋体" w:cs="Times New Roman"/>
                <w:color w:val="000000"/>
                <w:sz w:val="20"/>
                <w:szCs w:val="20"/>
                <w:lang w:val="en-US" w:eastAsia="zh-CN"/>
              </w:rPr>
              <w:t>是，有</w:t>
            </w:r>
            <w:r>
              <w:rPr>
                <w:rFonts w:hint="eastAsia" w:ascii="宋体" w:hAnsi="Times New Roman" w:eastAsia="宋体" w:cs="Times New Roman"/>
                <w:color w:val="000000"/>
                <w:sz w:val="20"/>
                <w:szCs w:val="20"/>
              </w:rPr>
              <w:t>环境绩效监测控制程序。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highlight w:val="none"/>
              </w:rPr>
              <w:t>：火灾应急预案</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机械伤害</w:t>
            </w:r>
            <w:r>
              <w:rPr>
                <w:rFonts w:hint="eastAsia" w:ascii="宋体"/>
                <w:color w:val="000000"/>
                <w:sz w:val="20"/>
                <w:szCs w:val="20"/>
                <w:highlight w:val="none"/>
              </w:rPr>
              <w:t>应急预案</w:t>
            </w:r>
            <w:r>
              <w:rPr>
                <w:rFonts w:hint="eastAsia" w:ascii="宋体"/>
                <w:color w:val="000000"/>
                <w:sz w:val="20"/>
                <w:szCs w:val="20"/>
                <w:highlight w:val="none"/>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spacing w:line="400" w:lineRule="atLeast"/>
              <w:jc w:val="left"/>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szCs w:val="21"/>
                <w:highlight w:val="none"/>
              </w:rPr>
              <w:t>火灾</w:t>
            </w:r>
            <w:r>
              <w:rPr>
                <w:rFonts w:hint="eastAsia"/>
                <w:szCs w:val="21"/>
                <w:highlight w:val="none"/>
                <w:lang w:val="en-US" w:eastAsia="zh-CN"/>
              </w:rPr>
              <w:t>伤害</w:t>
            </w:r>
            <w:r>
              <w:rPr>
                <w:rFonts w:hint="eastAsia"/>
                <w:szCs w:val="21"/>
                <w:highlight w:val="none"/>
                <w:lang w:eastAsia="zh-CN"/>
              </w:rPr>
              <w:t>、</w:t>
            </w:r>
            <w:r>
              <w:rPr>
                <w:rFonts w:hint="eastAsia"/>
                <w:szCs w:val="21"/>
                <w:highlight w:val="none"/>
              </w:rPr>
              <w:t>人身意外伤害</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hAnsi="Times New Roman" w:eastAsia="宋体" w:cs="Times New Roman"/>
                <w:color w:val="000000"/>
                <w:sz w:val="20"/>
                <w:szCs w:val="20"/>
                <w:lang w:val="en-US" w:eastAsia="zh-CN"/>
              </w:rPr>
            </w:pPr>
            <w:r>
              <w:rPr>
                <w:rFonts w:hint="eastAsia" w:ascii="宋体" w:hAnsi="Times New Roman" w:eastAsia="宋体" w:cs="Times New Roman"/>
                <w:color w:val="000000"/>
                <w:sz w:val="20"/>
                <w:szCs w:val="20"/>
              </w:rPr>
              <w:t>针对不可接受风险建立了运行控制程序：</w:t>
            </w:r>
            <w:r>
              <w:rPr>
                <w:rFonts w:hint="eastAsia" w:ascii="宋体" w:hAnsi="Times New Roman" w:eastAsia="宋体" w:cs="Times New Roman"/>
                <w:color w:val="000000"/>
                <w:sz w:val="20"/>
                <w:szCs w:val="20"/>
                <w:lang w:val="en-US" w:eastAsia="zh-CN"/>
              </w:rPr>
              <w:t>有</w:t>
            </w:r>
            <w:r>
              <w:rPr>
                <w:rFonts w:hint="eastAsia" w:ascii="宋体" w:hAnsi="Times New Roman" w:eastAsia="宋体" w:cs="Times New Roman"/>
                <w:color w:val="000000"/>
                <w:sz w:val="20"/>
                <w:szCs w:val="20"/>
              </w:rPr>
              <w:t>危险源辩识与风险评价控制程序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sz w:val="20"/>
                <w:szCs w:val="20"/>
                <w:lang w:val="en-US" w:eastAsia="zh-CN"/>
              </w:rPr>
            </w:pPr>
            <w:r>
              <w:rPr>
                <w:rFonts w:hint="eastAsia" w:ascii="宋体" w:hAnsi="Times New Roman" w:eastAsia="宋体" w:cs="Times New Roman"/>
                <w:color w:val="000000"/>
                <w:sz w:val="20"/>
                <w:szCs w:val="20"/>
              </w:rPr>
              <w:t>针对不可接受风险是否明确了监视和测量的要求：</w:t>
            </w:r>
            <w:r>
              <w:rPr>
                <w:rFonts w:hint="eastAsia" w:ascii="宋体" w:hAnsi="Times New Roman" w:eastAsia="宋体" w:cs="Times New Roman"/>
                <w:color w:val="000000"/>
                <w:sz w:val="20"/>
                <w:szCs w:val="20"/>
                <w:lang w:val="en-US" w:eastAsia="zh-CN"/>
              </w:rPr>
              <w:t>是，有</w:t>
            </w:r>
            <w:r>
              <w:rPr>
                <w:rFonts w:hint="eastAsia" w:ascii="宋体" w:hAnsi="Times New Roman" w:eastAsia="宋体" w:cs="Times New Roman"/>
                <w:color w:val="000000"/>
                <w:sz w:val="20"/>
                <w:szCs w:val="20"/>
              </w:rPr>
              <w:t>职业健康安全绩效监测控制程序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重点审核部门：行政部、生技部、供销部。</w:t>
            </w:r>
          </w:p>
          <w:p>
            <w:pPr>
              <w:spacing w:line="400" w:lineRule="exact"/>
              <w:rPr>
                <w:rFonts w:ascii="宋体"/>
                <w:b/>
                <w:color w:val="000000"/>
                <w:sz w:val="20"/>
                <w:szCs w:val="20"/>
              </w:rPr>
            </w:pPr>
            <w:r>
              <w:rPr>
                <w:rFonts w:hint="eastAsia" w:ascii="宋体" w:hAnsi="宋体"/>
                <w:b/>
                <w:color w:val="000000"/>
                <w:sz w:val="20"/>
                <w:szCs w:val="20"/>
              </w:rPr>
              <w:t>重点审核过程：产品销售和服务提供控制、顾客满意；产品和服务放行、不合格产品和服务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生产</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重点审核部门：行政部、生技部</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生产</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重点审核部门：行政部、生技部</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生产</w:t>
            </w:r>
            <w:r>
              <w:rPr>
                <w:rFonts w:hint="eastAsia" w:ascii="宋体" w:hAnsi="宋体"/>
                <w:b/>
                <w:color w:val="000000"/>
                <w:sz w:val="20"/>
                <w:szCs w:val="20"/>
              </w:rPr>
              <w:t>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rPr>
              <w:t xml:space="preserve">了解内审的策划; </w:t>
            </w:r>
            <w:r>
              <w:rPr>
                <w:rFonts w:hint="eastAsia" w:asciiTheme="minorEastAsia" w:hAnsiTheme="minorEastAsia" w:eastAsiaTheme="minorEastAsia" w:cstheme="minorEastAsia"/>
                <w:sz w:val="21"/>
                <w:szCs w:val="21"/>
              </w:rPr>
              <w:t>建立有《内部审核控制程序》，于</w:t>
            </w:r>
            <w:r>
              <w:rPr>
                <w:rFonts w:hint="eastAsia" w:asciiTheme="minorEastAsia" w:hAnsiTheme="minorEastAsia" w:eastAsiaTheme="minorEastAsia" w:cstheme="minorEastAsia"/>
                <w:color w:val="000000" w:themeColor="text1"/>
                <w:sz w:val="21"/>
                <w:szCs w:val="21"/>
                <w:highlight w:val="none"/>
                <w:lang w:val="en-US" w:eastAsia="zh-CN"/>
              </w:rPr>
              <w:t>2021年6月2日</w:t>
            </w:r>
            <w:r>
              <w:rPr>
                <w:rFonts w:hint="eastAsia" w:asciiTheme="minorEastAsia" w:hAnsiTheme="minorEastAsia" w:eastAsiaTheme="minorEastAsia" w:cstheme="minorEastAsia"/>
                <w:sz w:val="21"/>
                <w:szCs w:val="21"/>
              </w:rPr>
              <w:t>进行了内部审核。</w:t>
            </w:r>
          </w:p>
          <w:p>
            <w:pPr>
              <w:spacing w:line="400" w:lineRule="exac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sz w:val="21"/>
                <w:szCs w:val="21"/>
              </w:rPr>
              <w:t>内部审核组由：</w:t>
            </w:r>
            <w:r>
              <w:rPr>
                <w:rFonts w:hint="eastAsia" w:asciiTheme="minorEastAsia" w:hAnsiTheme="minorEastAsia" w:eastAsiaTheme="minorEastAsia" w:cstheme="minorEastAsia"/>
                <w:color w:val="000000" w:themeColor="text1"/>
                <w:sz w:val="21"/>
                <w:szCs w:val="21"/>
                <w:highlight w:val="none"/>
                <w:lang w:eastAsia="zh-CN"/>
              </w:rPr>
              <w:t>周敏</w:t>
            </w:r>
            <w:r>
              <w:rPr>
                <w:rFonts w:hint="eastAsia" w:asciiTheme="minorEastAsia" w:hAnsiTheme="minorEastAsia" w:eastAsiaTheme="minorEastAsia" w:cstheme="minorEastAsia"/>
                <w:color w:val="000000" w:themeColor="text1"/>
                <w:sz w:val="21"/>
                <w:szCs w:val="21"/>
                <w:highlight w:val="none"/>
              </w:rPr>
              <w:t>（组长）、</w:t>
            </w:r>
            <w:r>
              <w:rPr>
                <w:rFonts w:hint="eastAsia" w:asciiTheme="minorEastAsia" w:hAnsiTheme="minorEastAsia" w:eastAsiaTheme="minorEastAsia" w:cstheme="minorEastAsia"/>
                <w:color w:val="000000" w:themeColor="text1"/>
                <w:sz w:val="21"/>
                <w:szCs w:val="21"/>
                <w:highlight w:val="none"/>
                <w:lang w:eastAsia="zh-CN"/>
              </w:rPr>
              <w:t>范茂芹</w:t>
            </w:r>
            <w:r>
              <w:rPr>
                <w:rFonts w:hint="eastAsia" w:asciiTheme="minorEastAsia" w:hAnsiTheme="minorEastAsia" w:eastAsiaTheme="minorEastAsia" w:cstheme="minorEastAsia"/>
                <w:color w:val="000000" w:themeColor="text1"/>
                <w:sz w:val="21"/>
                <w:szCs w:val="21"/>
                <w:highlight w:val="none"/>
                <w:lang w:val="en-US" w:eastAsia="zh-CN"/>
              </w:rPr>
              <w:t>（</w:t>
            </w:r>
            <w:r>
              <w:rPr>
                <w:rFonts w:hint="eastAsia" w:asciiTheme="minorEastAsia" w:hAnsiTheme="minorEastAsia" w:eastAsiaTheme="minorEastAsia" w:cstheme="minorEastAsia"/>
                <w:color w:val="000000" w:themeColor="text1"/>
                <w:sz w:val="21"/>
                <w:szCs w:val="21"/>
                <w:highlight w:val="none"/>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 xml:space="preserve">了解内审是否覆盖了管理体系范围内的活动及标准的要求; </w:t>
            </w:r>
          </w:p>
          <w:p>
            <w:pPr>
              <w:numPr>
                <w:ilvl w:val="0"/>
                <w:numId w:val="1"/>
              </w:numPr>
              <w:spacing w:line="3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审核范围:管理体系涉及的公司所有部门及活动场所。</w:t>
            </w:r>
          </w:p>
          <w:p>
            <w:pPr>
              <w:numPr>
                <w:ilvl w:val="0"/>
                <w:numId w:val="1"/>
              </w:numPr>
              <w:spacing w:line="340" w:lineRule="exac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sz w:val="21"/>
                <w:szCs w:val="21"/>
              </w:rPr>
              <w:t>审核准则：a.GB/T 19001:2016、GB/T 24001-2016标准、ISO45001：2018；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了解内审结论是什么？</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各部门需要对内审开出的不符合项报告认真整改，并做到举一反三，以点带面，通过纠正预防措施的执行，使管理体系正常而有效运行。</w:t>
            </w:r>
          </w:p>
          <w:p>
            <w:pPr>
              <w:spacing w:line="400" w:lineRule="exact"/>
              <w:ind w:firstLine="420" w:firstLineChars="2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sz w:val="21"/>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szCs w:val="21"/>
              </w:rPr>
              <w:t>建立有《管理评审控制程序》，于</w:t>
            </w:r>
            <w:r>
              <w:rPr>
                <w:rFonts w:hint="eastAsia" w:ascii="宋体" w:hAnsi="宋体"/>
                <w:color w:val="000000" w:themeColor="text1"/>
                <w:szCs w:val="21"/>
              </w:rPr>
              <w:t>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6</w:t>
            </w:r>
            <w:r>
              <w:rPr>
                <w:rFonts w:hint="eastAsia" w:ascii="宋体" w:hAnsi="宋体"/>
                <w:color w:val="000000" w:themeColor="text1"/>
                <w:szCs w:val="21"/>
              </w:rPr>
              <w:t>月</w:t>
            </w:r>
            <w:r>
              <w:rPr>
                <w:rFonts w:hint="eastAsia" w:ascii="宋体" w:hAnsi="宋体"/>
                <w:color w:val="000000" w:themeColor="text1"/>
                <w:szCs w:val="21"/>
                <w:lang w:val="en-US" w:eastAsia="zh-CN"/>
              </w:rPr>
              <w:t>8</w:t>
            </w:r>
            <w:r>
              <w:rPr>
                <w:rFonts w:hint="eastAsia" w:ascii="宋体" w:hAnsi="宋体"/>
                <w:color w:val="000000" w:themeColor="text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p>
            <w:pPr>
              <w:widowControl/>
              <w:jc w:val="left"/>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highlight w:val="none"/>
              </w:rPr>
            </w:pPr>
            <w:r>
              <w:rPr>
                <w:rFonts w:ascii="宋体" w:hAnsi="宋体"/>
                <w:b/>
                <w:color w:val="000000"/>
                <w:sz w:val="20"/>
                <w:szCs w:val="20"/>
              </w:rPr>
              <w:t xml:space="preserve">1. </w:t>
            </w:r>
            <w:r>
              <w:rPr>
                <w:rFonts w:hint="eastAsia" w:ascii="宋体" w:hAnsi="宋体"/>
                <w:b/>
                <w:color w:val="000000"/>
                <w:sz w:val="20"/>
                <w:szCs w:val="20"/>
              </w:rPr>
              <w:t>组织是否具备二</w:t>
            </w:r>
            <w:r>
              <w:rPr>
                <w:rFonts w:hint="eastAsia" w:ascii="宋体" w:hAnsi="宋体"/>
                <w:b/>
                <w:color w:val="000000"/>
                <w:sz w:val="20"/>
                <w:szCs w:val="20"/>
                <w:highlight w:val="none"/>
              </w:rPr>
              <w:t>阶段审核条件</w:t>
            </w:r>
            <w:r>
              <w:rPr>
                <w:rFonts w:ascii="宋体" w:hAnsi="宋体"/>
                <w:b/>
                <w:color w:val="000000"/>
                <w:sz w:val="20"/>
                <w:szCs w:val="20"/>
                <w:highlight w:val="none"/>
              </w:rPr>
              <w:t>(</w:t>
            </w:r>
            <w:r>
              <w:rPr>
                <w:rFonts w:hint="eastAsia" w:ascii="宋体" w:hAnsi="宋体"/>
                <w:b/>
                <w:color w:val="000000"/>
                <w:spacing w:val="-10"/>
                <w:sz w:val="20"/>
                <w:szCs w:val="20"/>
                <w:highlight w:val="none"/>
                <w:lang w:val="de-DE" w:eastAsia="zh-CN"/>
              </w:rPr>
              <w:t>■</w:t>
            </w:r>
            <w:r>
              <w:rPr>
                <w:rFonts w:ascii="宋体" w:hAnsi="宋体"/>
                <w:b/>
                <w:color w:val="000000"/>
                <w:sz w:val="20"/>
                <w:szCs w:val="20"/>
                <w:highlight w:val="none"/>
              </w:rPr>
              <w:t>QMS /</w:t>
            </w:r>
            <w:r>
              <w:rPr>
                <w:rFonts w:hint="eastAsia" w:ascii="宋体" w:hAnsi="宋体"/>
                <w:b/>
                <w:color w:val="000000"/>
                <w:spacing w:val="-10"/>
                <w:sz w:val="20"/>
                <w:szCs w:val="20"/>
                <w:highlight w:val="none"/>
                <w:lang w:val="de-DE" w:eastAsia="zh-CN"/>
              </w:rPr>
              <w:t>■</w:t>
            </w:r>
            <w:r>
              <w:rPr>
                <w:rFonts w:ascii="宋体" w:hAnsi="宋体"/>
                <w:b/>
                <w:color w:val="000000"/>
                <w:sz w:val="20"/>
                <w:szCs w:val="20"/>
                <w:highlight w:val="none"/>
              </w:rPr>
              <w:t>EMS/</w:t>
            </w:r>
            <w:r>
              <w:rPr>
                <w:rFonts w:hint="eastAsia" w:ascii="宋体" w:hAnsi="宋体"/>
                <w:b/>
                <w:color w:val="000000"/>
                <w:spacing w:val="-10"/>
                <w:sz w:val="20"/>
                <w:szCs w:val="20"/>
                <w:highlight w:val="none"/>
                <w:lang w:val="de-DE" w:eastAsia="zh-CN"/>
              </w:rPr>
              <w:t>■</w:t>
            </w:r>
            <w:r>
              <w:rPr>
                <w:rFonts w:ascii="宋体" w:hAnsi="宋体"/>
                <w:b/>
                <w:color w:val="000000"/>
                <w:sz w:val="20"/>
                <w:szCs w:val="20"/>
                <w:highlight w:val="none"/>
              </w:rPr>
              <w:t>OHSMS)</w:t>
            </w:r>
          </w:p>
          <w:p>
            <w:pPr>
              <w:spacing w:line="280" w:lineRule="exact"/>
              <w:rPr>
                <w:rFonts w:ascii="宋体"/>
                <w:b/>
                <w:color w:val="000000"/>
                <w:sz w:val="20"/>
                <w:szCs w:val="20"/>
                <w:highlight w:val="none"/>
              </w:rPr>
            </w:pPr>
            <w:r>
              <w:rPr>
                <w:rFonts w:hint="eastAsia" w:ascii="宋体" w:hAnsi="宋体"/>
                <w:b/>
                <w:color w:val="000000"/>
                <w:spacing w:val="-10"/>
                <w:sz w:val="20"/>
                <w:szCs w:val="20"/>
                <w:highlight w:val="none"/>
                <w:lang w:val="de-DE"/>
              </w:rPr>
              <w:t>□</w:t>
            </w:r>
            <w:r>
              <w:rPr>
                <w:rFonts w:hint="eastAsia" w:ascii="宋体" w:hAnsi="宋体"/>
                <w:b/>
                <w:color w:val="000000"/>
                <w:sz w:val="20"/>
                <w:szCs w:val="20"/>
                <w:highlight w:val="none"/>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highlight w:val="none"/>
                <w:lang w:val="de-DE" w:eastAsia="zh-CN"/>
              </w:rPr>
              <w:t>■</w:t>
            </w:r>
            <w:r>
              <w:rPr>
                <w:rFonts w:hint="eastAsia" w:ascii="宋体" w:hAnsi="宋体"/>
                <w:b/>
                <w:color w:val="000000"/>
                <w:sz w:val="20"/>
                <w:szCs w:val="20"/>
                <w:highlight w:val="none"/>
              </w:rPr>
              <w:t>需改进</w:t>
            </w:r>
            <w:r>
              <w:rPr>
                <w:rFonts w:ascii="宋体" w:hAnsi="宋体"/>
                <w:b/>
                <w:color w:val="000000"/>
                <w:sz w:val="20"/>
                <w:szCs w:val="20"/>
                <w:highlight w:val="none"/>
              </w:rPr>
              <w:t xml:space="preserve">, </w:t>
            </w:r>
            <w:r>
              <w:rPr>
                <w:rFonts w:hint="eastAsia" w:ascii="宋体" w:hAnsi="宋体"/>
                <w:b/>
                <w:color w:val="000000"/>
                <w:sz w:val="20"/>
                <w:szCs w:val="20"/>
                <w:highlight w:val="none"/>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402" w:firstLineChars="200"/>
        <w:rPr>
          <w:rFonts w:ascii="宋体" w:hAnsi="宋体"/>
          <w:szCs w:val="21"/>
          <w:u w:val="single"/>
        </w:rPr>
      </w:pPr>
      <w:r>
        <w:rPr>
          <w:rFonts w:ascii="宋体" w:hAnsi="宋体"/>
          <w:b/>
          <w:color w:val="000000"/>
          <w:sz w:val="20"/>
          <w:u w:val="single"/>
        </w:rPr>
        <w:t>QMS:</w:t>
      </w:r>
      <w:r>
        <w:rPr>
          <w:rFonts w:hint="eastAsia" w:ascii="宋体" w:hAnsi="宋体"/>
          <w:szCs w:val="21"/>
          <w:u w:val="single"/>
          <w:lang w:eastAsia="zh-CN"/>
        </w:rPr>
        <w:t>线束（摩托车配件）的组装；摩托车配件的销售</w:t>
      </w:r>
      <w:r>
        <w:rPr>
          <w:rFonts w:hint="eastAsia" w:ascii="宋体" w:hAnsi="宋体"/>
          <w:szCs w:val="21"/>
          <w:u w:val="single"/>
        </w:rPr>
        <w:t>。</w:t>
      </w:r>
    </w:p>
    <w:p>
      <w:pPr>
        <w:ind w:firstLine="402" w:firstLineChars="200"/>
        <w:rPr>
          <w:rFonts w:ascii="宋体"/>
          <w:b/>
          <w:color w:val="000000"/>
          <w:sz w:val="20"/>
          <w:u w:val="single"/>
        </w:rPr>
      </w:pPr>
      <w:r>
        <w:rPr>
          <w:rFonts w:ascii="宋体" w:hAnsi="宋体"/>
          <w:b/>
          <w:color w:val="000000"/>
          <w:sz w:val="20"/>
          <w:u w:val="single"/>
        </w:rPr>
        <w:t>EMS</w:t>
      </w:r>
      <w:r>
        <w:rPr>
          <w:rFonts w:ascii="宋体" w:hAnsi="宋体"/>
          <w:b/>
          <w:color w:val="000000"/>
          <w:sz w:val="20"/>
          <w:u w:val="single"/>
          <w:lang w:val="en-GB"/>
        </w:rPr>
        <w:t>:</w:t>
      </w:r>
      <w:r>
        <w:rPr>
          <w:rFonts w:hint="eastAsia" w:ascii="宋体" w:hAnsi="宋体"/>
          <w:szCs w:val="21"/>
          <w:u w:val="single"/>
          <w:lang w:eastAsia="zh-CN"/>
        </w:rPr>
        <w:t>线束（摩托车配件）的组装；摩托车配件的销售</w:t>
      </w:r>
      <w:r>
        <w:rPr>
          <w:rFonts w:hint="eastAsia" w:ascii="宋体" w:hAnsi="宋体"/>
          <w:szCs w:val="21"/>
          <w:u w:val="single"/>
        </w:rPr>
        <w:t>所涉及场所的相关环境管理活动。</w:t>
      </w:r>
    </w:p>
    <w:p>
      <w:pPr>
        <w:ind w:firstLine="402" w:firstLineChars="200"/>
        <w:rPr>
          <w:rFonts w:ascii="宋体" w:hAnsi="宋体"/>
          <w:szCs w:val="21"/>
          <w:u w:val="single"/>
        </w:rPr>
      </w:pPr>
      <w:r>
        <w:rPr>
          <w:rFonts w:ascii="宋体" w:hAnsi="宋体"/>
          <w:b/>
          <w:color w:val="000000"/>
          <w:sz w:val="20"/>
          <w:u w:val="single"/>
        </w:rPr>
        <w:t>OHSMS</w:t>
      </w:r>
      <w:r>
        <w:rPr>
          <w:rFonts w:ascii="宋体" w:hAnsi="宋体"/>
          <w:b/>
          <w:color w:val="000000"/>
          <w:sz w:val="20"/>
          <w:u w:val="single"/>
          <w:lang w:val="en-GB"/>
        </w:rPr>
        <w:t>:</w:t>
      </w:r>
      <w:r>
        <w:rPr>
          <w:rFonts w:hint="eastAsia" w:ascii="宋体" w:hAnsi="宋体"/>
          <w:szCs w:val="21"/>
          <w:u w:val="single"/>
          <w:lang w:eastAsia="zh-CN"/>
        </w:rPr>
        <w:t>线束（摩托车配件）的组装；摩托车配件的销售</w:t>
      </w:r>
      <w:r>
        <w:rPr>
          <w:rFonts w:hint="eastAsia" w:ascii="宋体" w:hAnsi="宋体"/>
          <w:szCs w:val="21"/>
          <w:u w:val="single"/>
        </w:rPr>
        <w:t>所涉及场所的相关职业健康安全管理活动。</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eastAsia="宋体" w:cs="Times New Roman"/>
          <w:kern w:val="2"/>
          <w:sz w:val="21"/>
          <w:szCs w:val="22"/>
          <w:lang w:val="en-US" w:eastAsia="zh-CN" w:bidi="ar-SA"/>
        </w:rPr>
        <w:drawing>
          <wp:anchor distT="0" distB="0" distL="114300" distR="114300" simplePos="0" relativeHeight="251778048" behindDoc="0" locked="0" layoutInCell="1" allowOverlap="1">
            <wp:simplePos x="0" y="0"/>
            <wp:positionH relativeFrom="column">
              <wp:posOffset>2069465</wp:posOffset>
            </wp:positionH>
            <wp:positionV relativeFrom="paragraph">
              <wp:posOffset>328930</wp:posOffset>
            </wp:positionV>
            <wp:extent cx="334645" cy="310515"/>
            <wp:effectExtent l="0" t="0" r="8255" b="6985"/>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334645" cy="31051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744256" behindDoc="0" locked="0" layoutInCell="1" allowOverlap="1">
            <wp:simplePos x="0" y="0"/>
            <wp:positionH relativeFrom="column">
              <wp:posOffset>1903095</wp:posOffset>
            </wp:positionH>
            <wp:positionV relativeFrom="paragraph">
              <wp:posOffset>29210</wp:posOffset>
            </wp:positionV>
            <wp:extent cx="668655" cy="485775"/>
            <wp:effectExtent l="0" t="0" r="4445" b="952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668655" cy="48577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2021年06月19日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受审核方：重庆市璧山区渝峰摩托车配件有限公司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790"/>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790"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709"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highlight w:val="none"/>
                <w:lang w:val="en-US" w:eastAsia="zh-CN"/>
              </w:rPr>
            </w:pPr>
            <w:r>
              <w:rPr>
                <w:rFonts w:hint="eastAsia" w:ascii="宋体"/>
                <w:color w:val="000000"/>
                <w:sz w:val="21"/>
                <w:szCs w:val="21"/>
                <w:highlight w:val="none"/>
                <w:lang w:val="en-US" w:eastAsia="zh-CN"/>
              </w:rPr>
              <w:t>1</w:t>
            </w:r>
          </w:p>
        </w:tc>
        <w:tc>
          <w:tcPr>
            <w:tcW w:w="5681" w:type="dxa"/>
            <w:vAlign w:val="center"/>
          </w:tcPr>
          <w:p>
            <w:pPr>
              <w:spacing w:line="400" w:lineRule="exact"/>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查在用检测设备有数显卡尺、外径千分尺、线束检测仪、拉力测试机等。能提供数显卡尺、外径千分尺、线束检测仪的有效校准证书，其中拉力测试机未见有效校准证书。</w:t>
            </w:r>
          </w:p>
          <w:p>
            <w:pPr>
              <w:spacing w:line="400" w:lineRule="exact"/>
              <w:rPr>
                <w:rFonts w:hint="eastAsia" w:ascii="宋体" w:hAnsi="宋体" w:eastAsia="宋体" w:cs="Times New Roman"/>
                <w:sz w:val="21"/>
                <w:szCs w:val="21"/>
                <w:highlight w:val="none"/>
                <w:lang w:val="en-US" w:eastAsia="zh-CN"/>
              </w:rPr>
            </w:pPr>
          </w:p>
        </w:tc>
        <w:tc>
          <w:tcPr>
            <w:tcW w:w="1790" w:type="dxa"/>
            <w:vAlign w:val="center"/>
          </w:tcPr>
          <w:p>
            <w:pPr>
              <w:spacing w:line="400" w:lineRule="exac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ISO9001:2015</w:t>
            </w:r>
          </w:p>
        </w:tc>
        <w:tc>
          <w:tcPr>
            <w:tcW w:w="1709" w:type="dxa"/>
            <w:vAlign w:val="center"/>
          </w:tcPr>
          <w:p>
            <w:pPr>
              <w:pStyle w:val="6"/>
              <w:pBdr>
                <w:bottom w:val="none" w:color="auto" w:sz="0" w:space="0"/>
              </w:pBdr>
              <w:ind w:right="600"/>
              <w:jc w:val="both"/>
              <w:rPr>
                <w:rFonts w:hint="default" w:eastAsia="宋体"/>
                <w:color w:val="000000"/>
                <w:sz w:val="21"/>
                <w:szCs w:val="21"/>
                <w:highlight w:val="none"/>
                <w:lang w:val="en-US" w:eastAsia="zh-CN"/>
              </w:rPr>
            </w:pPr>
            <w:r>
              <w:rPr>
                <w:rFonts w:hint="eastAsia"/>
                <w:color w:val="000000"/>
                <w:sz w:val="21"/>
                <w:szCs w:val="21"/>
                <w:highlight w:val="none"/>
                <w:lang w:val="en-US" w:eastAsia="zh-CN"/>
              </w:rPr>
              <w:t>Q7.1.5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790" w:type="dxa"/>
            <w:vAlign w:val="center"/>
          </w:tcPr>
          <w:p>
            <w:pPr>
              <w:pStyle w:val="6"/>
              <w:pBdr>
                <w:bottom w:val="none" w:color="auto" w:sz="0" w:space="0"/>
              </w:pBdr>
              <w:ind w:right="600"/>
              <w:jc w:val="both"/>
              <w:rPr>
                <w:color w:val="000000"/>
                <w:sz w:val="32"/>
                <w:szCs w:val="32"/>
              </w:rPr>
            </w:pPr>
          </w:p>
        </w:tc>
        <w:tc>
          <w:tcPr>
            <w:tcW w:w="1709"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790" w:type="dxa"/>
            <w:vAlign w:val="center"/>
          </w:tcPr>
          <w:p>
            <w:pPr>
              <w:pStyle w:val="6"/>
              <w:pBdr>
                <w:bottom w:val="none" w:color="auto" w:sz="0" w:space="0"/>
              </w:pBdr>
              <w:ind w:right="600"/>
              <w:jc w:val="both"/>
              <w:rPr>
                <w:color w:val="000000"/>
                <w:sz w:val="32"/>
                <w:szCs w:val="32"/>
              </w:rPr>
            </w:pPr>
          </w:p>
        </w:tc>
        <w:tc>
          <w:tcPr>
            <w:tcW w:w="1709"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790" w:type="dxa"/>
            <w:vAlign w:val="center"/>
          </w:tcPr>
          <w:p>
            <w:pPr>
              <w:pStyle w:val="6"/>
              <w:pBdr>
                <w:bottom w:val="none" w:color="auto" w:sz="0" w:space="0"/>
              </w:pBdr>
              <w:ind w:right="600"/>
              <w:jc w:val="both"/>
              <w:rPr>
                <w:color w:val="000000"/>
                <w:sz w:val="32"/>
                <w:szCs w:val="32"/>
              </w:rPr>
            </w:pPr>
          </w:p>
        </w:tc>
        <w:tc>
          <w:tcPr>
            <w:tcW w:w="1709"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790" w:type="dxa"/>
            <w:vAlign w:val="center"/>
          </w:tcPr>
          <w:p>
            <w:pPr>
              <w:pStyle w:val="6"/>
              <w:pBdr>
                <w:bottom w:val="none" w:color="auto" w:sz="0" w:space="0"/>
              </w:pBdr>
              <w:ind w:right="600"/>
              <w:jc w:val="both"/>
              <w:rPr>
                <w:color w:val="000000"/>
                <w:sz w:val="32"/>
                <w:szCs w:val="32"/>
              </w:rPr>
            </w:pPr>
          </w:p>
        </w:tc>
        <w:tc>
          <w:tcPr>
            <w:tcW w:w="1709"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ascii="宋体" w:hAnsi="宋体" w:eastAsia="宋体" w:cs="Times New Roman"/>
                <w:kern w:val="2"/>
                <w:sz w:val="21"/>
                <w:szCs w:val="22"/>
                <w:lang w:val="en-US" w:eastAsia="zh-CN" w:bidi="ar-SA"/>
              </w:rPr>
              <w:drawing>
                <wp:anchor distT="0" distB="0" distL="114300" distR="114300" simplePos="0" relativeHeight="252019712" behindDoc="0" locked="0" layoutInCell="1" allowOverlap="1">
                  <wp:simplePos x="0" y="0"/>
                  <wp:positionH relativeFrom="column">
                    <wp:posOffset>570865</wp:posOffset>
                  </wp:positionH>
                  <wp:positionV relativeFrom="paragraph">
                    <wp:posOffset>175260</wp:posOffset>
                  </wp:positionV>
                  <wp:extent cx="334645" cy="310515"/>
                  <wp:effectExtent l="0" t="0" r="8255" b="6985"/>
                  <wp:wrapNone/>
                  <wp:docPr id="4"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5e69cce4380e02713697e955d1ffd9"/>
                          <pic:cNvPicPr>
                            <a:picLocks noChangeAspect="1"/>
                          </pic:cNvPicPr>
                        </pic:nvPicPr>
                        <pic:blipFill>
                          <a:blip r:embed="rId6"/>
                          <a:stretch>
                            <a:fillRect/>
                          </a:stretch>
                        </pic:blipFill>
                        <pic:spPr>
                          <a:xfrm>
                            <a:off x="0" y="0"/>
                            <a:ext cx="334645" cy="310515"/>
                          </a:xfrm>
                          <a:prstGeom prst="rect">
                            <a:avLst/>
                          </a:prstGeom>
                          <a:noFill/>
                          <a:ln>
                            <a:noFill/>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pStyle w:val="3"/>
            </w:pP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2261376" behindDoc="0" locked="0" layoutInCell="1" allowOverlap="1">
                  <wp:simplePos x="0" y="0"/>
                  <wp:positionH relativeFrom="column">
                    <wp:posOffset>688340</wp:posOffset>
                  </wp:positionH>
                  <wp:positionV relativeFrom="paragraph">
                    <wp:posOffset>75565</wp:posOffset>
                  </wp:positionV>
                  <wp:extent cx="334645" cy="310515"/>
                  <wp:effectExtent l="0" t="0" r="8255" b="6985"/>
                  <wp:wrapNone/>
                  <wp:docPr id="5"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45e69cce4380e02713697e955d1ffd9"/>
                          <pic:cNvPicPr>
                            <a:picLocks noChangeAspect="1"/>
                          </pic:cNvPicPr>
                        </pic:nvPicPr>
                        <pic:blipFill>
                          <a:blip r:embed="rId6"/>
                          <a:stretch>
                            <a:fillRect/>
                          </a:stretch>
                        </pic:blipFill>
                        <pic:spPr>
                          <a:xfrm>
                            <a:off x="0" y="0"/>
                            <a:ext cx="334645" cy="31051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2021年06月</w:t>
            </w:r>
            <w:r>
              <w:rPr>
                <w:rFonts w:hint="eastAsia"/>
                <w:color w:val="000000"/>
                <w:szCs w:val="21"/>
                <w:lang w:val="en-US" w:eastAsia="zh-CN"/>
              </w:rPr>
              <w:t>20</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F3D6F"/>
    <w:rsid w:val="160945A1"/>
    <w:rsid w:val="6AAC39EA"/>
    <w:rsid w:val="74142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2021-06-25T03:12:59Z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