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 行政部  供销部 生技部 财务部</w:t>
      </w:r>
      <w:r>
        <w:rPr>
          <w:rFonts w:hint="eastAsia"/>
          <w:sz w:val="24"/>
          <w:szCs w:val="24"/>
        </w:rPr>
        <w:t xml:space="preserve">    </w:t>
      </w:r>
    </w:p>
    <w:p>
      <w:pPr>
        <w:spacing w:line="480" w:lineRule="exact"/>
        <w:jc w:val="left"/>
        <w:rPr>
          <w:rFonts w:hint="default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陪同人员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bookmarkStart w:id="0" w:name="联系人"/>
      <w:r>
        <w:rPr>
          <w:rFonts w:hint="eastAsia"/>
          <w:sz w:val="24"/>
          <w:szCs w:val="24"/>
        </w:rPr>
        <w:t>殷满秀</w:t>
      </w:r>
      <w:bookmarkEnd w:id="0"/>
      <w:r>
        <w:rPr>
          <w:rFonts w:hint="eastAsia"/>
          <w:sz w:val="24"/>
          <w:szCs w:val="24"/>
        </w:rPr>
        <w:t>，  审核员：</w:t>
      </w:r>
      <w:r>
        <w:rPr>
          <w:rFonts w:hint="eastAsia"/>
          <w:sz w:val="24"/>
          <w:szCs w:val="24"/>
          <w:lang w:val="en-US" w:eastAsia="zh-CN"/>
        </w:rPr>
        <w:t xml:space="preserve">文平、冉景洲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审核时间：202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>日</w:t>
      </w:r>
      <w:bookmarkStart w:id="1" w:name="_GoBack"/>
      <w:bookmarkEnd w:id="1"/>
    </w:p>
    <w:tbl>
      <w:tblPr>
        <w:tblStyle w:val="8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993"/>
        <w:gridCol w:w="12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4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文平、冉景洲（只参加质量、环境管理体系审核）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5" w:type="dxa"/>
            <w:gridSpan w:val="2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spacing w:line="360" w:lineRule="auto"/>
              <w:ind w:firstLine="360" w:firstLineChars="20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重庆市璧山区渝峰摩托车配件有限公司2011-05-06注册成立，位于重庆市璧山区璧城街道工业园区金剑路366号；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是一家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专业人事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摩托车配件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生产及销售的企业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现有员工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人，目前经营</w:t>
            </w:r>
            <w:r>
              <w:rPr>
                <w:rFonts w:hint="eastAsia" w:ascii="Times New Roman" w:hAnsi="Times New Roman" w:cs="Times New Roman"/>
                <w:szCs w:val="21"/>
              </w:rPr>
              <w:t>情况良好。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>详见复印件。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该公司目前成立了四个部门：</w:t>
            </w:r>
            <w:r>
              <w:rPr>
                <w:rFonts w:hint="eastAsia"/>
                <w:szCs w:val="21"/>
                <w:lang w:eastAsia="zh-CN"/>
              </w:rPr>
              <w:t>行政部  供销部 生技部 财务部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/>
                <w:lang w:eastAsia="zh-CN"/>
              </w:rPr>
              <w:t>重庆市璧山区璧城街道工业园区金剑路366号</w:t>
            </w:r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r>
              <w:rPr>
                <w:rFonts w:hint="eastAsia" w:ascii="宋体" w:hAnsi="宋体"/>
                <w:szCs w:val="21"/>
                <w:lang w:eastAsia="zh-CN"/>
              </w:rPr>
              <w:t>线束（摩托车配件）的组装；摩托车配件的销售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  <w:lang w:eastAsia="zh-CN"/>
              </w:rPr>
              <w:t>线束（摩托车配件）的组装；摩托车配件的销售</w:t>
            </w:r>
            <w:r>
              <w:rPr>
                <w:rFonts w:hint="eastAsia" w:ascii="宋体" w:hAnsi="宋体"/>
                <w:szCs w:val="21"/>
              </w:rPr>
              <w:t>所涉及场所的相关环境管理活动。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  <w:lang w:eastAsia="zh-CN"/>
              </w:rPr>
              <w:t>线束（摩托车配件）的组装；摩托车配件的销售</w:t>
            </w:r>
            <w:r>
              <w:rPr>
                <w:rFonts w:hint="eastAsia" w:ascii="宋体" w:hAnsi="宋体"/>
                <w:szCs w:val="21"/>
              </w:rPr>
              <w:t>所涉及场所的相关职业健康安全管理活动。</w:t>
            </w:r>
          </w:p>
          <w:p>
            <w:pPr>
              <w:spacing w:line="4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 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主要设备为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电脑、办公设备、电脑剥线机 、铜带机、端子冲压机 、热合机 、线束通断测试仪等，关键过程：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配线组合、组缠过程、销售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过程。特殊过程：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销售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过程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/>
                <w:szCs w:val="21"/>
                <w:lang w:eastAsia="zh-CN"/>
              </w:rPr>
              <w:t>管理层、行政部、供销部、生技部、财务部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5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质量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环境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职业健康安全方针：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以品质赢得客户；以绿色、环保、健康、安全生产占有市场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”。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质量管理目标：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（1）产品交付合格率100%；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（2）顾客满意度≧95%；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环境管理目标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（1）火灾发生次数为0；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（2）固体废弃物分类合规处置率100%；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职业健康安全管理目标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（1）火灾发生次数为0；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（2）人身意外伤害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为0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拟定有管理方案和预案。</w:t>
            </w:r>
          </w:p>
        </w:tc>
        <w:tc>
          <w:tcPr>
            <w:tcW w:w="1005" w:type="dxa"/>
            <w:gridSpan w:val="2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Q/E/S:5.1;6.2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内审时间：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2021年6月2日</w:t>
            </w:r>
          </w:p>
          <w:p>
            <w:pPr>
              <w:spacing w:line="400" w:lineRule="exact"/>
              <w:rPr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内审组：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eastAsia="zh-CN"/>
              </w:rPr>
              <w:t>周敏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（组长）、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eastAsia="zh-CN"/>
              </w:rPr>
              <w:t>范茂芹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组员）。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见有：《内审不符合项报告》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1份，涉及行政部Q/E/S7.2条款,不符合描述为“查2021年对人员能力评价的情况，未提供相关证据”，针对该不符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合项，已及时采取纠正措施后，经内审员验证关闭。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1005" w:type="dxa"/>
            <w:gridSpan w:val="2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Q/E/S: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spacing w:line="3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管理评审于202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年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提出以下改进内容：进一步强化质量、环境、职业健康安全管理体系标准的培训；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由行政部负责，2021年6月底完成。</w:t>
            </w:r>
          </w:p>
        </w:tc>
        <w:tc>
          <w:tcPr>
            <w:tcW w:w="993" w:type="dxa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Q/E/S: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18" w:type="dxa"/>
            <w:gridSpan w:val="2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产品质量监督抽查情况（QMS）</w:t>
            </w:r>
          </w:p>
        </w:tc>
        <w:tc>
          <w:tcPr>
            <w:tcW w:w="9625" w:type="dxa"/>
          </w:tcPr>
          <w:p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中华人民共和国合同法、中华人民共和国劳动法、中华人民共和国安全消防法、中华人民共和国劳动合同法、中华人民共和国产品质量法、中华人民共和国安全生产法、</w:t>
            </w:r>
            <w:r>
              <w:rPr>
                <w:rFonts w:hint="default" w:eastAsia="宋体"/>
                <w:szCs w:val="21"/>
                <w:lang w:val="en-US" w:eastAsia="zh-CN"/>
              </w:rPr>
              <w:fldChar w:fldCharType="begin"/>
            </w:r>
            <w:r>
              <w:rPr>
                <w:rFonts w:hint="default" w:eastAsia="宋体"/>
                <w:szCs w:val="21"/>
                <w:lang w:val="en-US" w:eastAsia="zh-CN"/>
              </w:rPr>
              <w:instrText xml:space="preserve"> HYPERLINK "http://www.cctv.com/special/466/6/39426.html" \t "https://www.so.com/_blank" </w:instrText>
            </w:r>
            <w:r>
              <w:rPr>
                <w:rFonts w:hint="default" w:eastAsia="宋体"/>
                <w:szCs w:val="21"/>
                <w:lang w:val="en-US" w:eastAsia="zh-CN"/>
              </w:rPr>
              <w:fldChar w:fldCharType="separate"/>
            </w:r>
            <w:r>
              <w:rPr>
                <w:rFonts w:hint="default" w:eastAsia="宋体"/>
                <w:szCs w:val="21"/>
                <w:lang w:val="en-US" w:eastAsia="zh-CN"/>
              </w:rPr>
              <w:t>中华人民共和国消费者权益保护法</w:t>
            </w:r>
            <w:r>
              <w:rPr>
                <w:rFonts w:hint="default" w:eastAsia="宋体"/>
                <w:szCs w:val="21"/>
                <w:lang w:val="en-US" w:eastAsia="zh-CN"/>
              </w:rPr>
              <w:fldChar w:fldCharType="end"/>
            </w:r>
            <w:r>
              <w:rPr>
                <w:rFonts w:hint="eastAsia" w:eastAsia="宋体"/>
                <w:szCs w:val="21"/>
                <w:lang w:val="en-US" w:eastAsia="zh-CN"/>
              </w:rPr>
              <w:t>等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主机厂提供的产品图纸及技术要求、合同等。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污水排入城镇下水道水质标准（GB/T 31962-2015）、《工业企业厂界环境噪声排放标准》（GB12348-2008）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202</w:t>
            </w:r>
            <w:r>
              <w:rPr>
                <w:rFonts w:hint="eastAsia" w:eastAsia="宋体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Cs w:val="21"/>
              </w:rPr>
              <w:t>年</w:t>
            </w:r>
            <w:r>
              <w:rPr>
                <w:rFonts w:hint="eastAsia" w:eastAsia="宋体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Cs w:val="21"/>
              </w:rPr>
              <w:t>月</w:t>
            </w:r>
            <w:r>
              <w:rPr>
                <w:rFonts w:hint="eastAsia" w:eastAsia="宋体"/>
                <w:szCs w:val="21"/>
                <w:lang w:val="en-US" w:eastAsia="zh-CN"/>
              </w:rPr>
              <w:t>25</w:t>
            </w:r>
            <w:r>
              <w:rPr>
                <w:rFonts w:hint="eastAsia" w:eastAsia="宋体"/>
                <w:szCs w:val="21"/>
              </w:rPr>
              <w:t>日进行了合规性评价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无质量监督抽查。</w:t>
            </w:r>
          </w:p>
        </w:tc>
        <w:tc>
          <w:tcPr>
            <w:tcW w:w="1005" w:type="dxa"/>
            <w:gridSpan w:val="2"/>
          </w:tcPr>
          <w:p>
            <w:pPr>
              <w:spacing w:line="440" w:lineRule="exact"/>
              <w:jc w:val="both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QES6.1.3</w:t>
            </w:r>
          </w:p>
          <w:p>
            <w:pPr>
              <w:pStyle w:val="11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/9.1.2</w:t>
            </w:r>
          </w:p>
        </w:tc>
        <w:tc>
          <w:tcPr>
            <w:tcW w:w="80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pStyle w:val="4"/>
              <w:rPr>
                <w:rFonts w:hint="eastAsia"/>
                <w:highlight w:val="none"/>
              </w:rPr>
            </w:pPr>
          </w:p>
          <w:p>
            <w:pPr>
              <w:pStyle w:val="4"/>
              <w:rPr>
                <w:rFonts w:hint="eastAsia"/>
                <w:highlight w:val="none"/>
              </w:rPr>
            </w:pPr>
          </w:p>
          <w:p>
            <w:pPr>
              <w:pStyle w:val="4"/>
              <w:rPr>
                <w:rFonts w:hint="eastAsia"/>
                <w:highlight w:val="none"/>
              </w:rPr>
            </w:pPr>
          </w:p>
          <w:p>
            <w:pPr>
              <w:pStyle w:val="4"/>
              <w:rPr>
                <w:rFonts w:hint="eastAsia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应急管理</w:t>
            </w:r>
          </w:p>
        </w:tc>
        <w:tc>
          <w:tcPr>
            <w:tcW w:w="9625" w:type="dxa"/>
          </w:tcPr>
          <w:p>
            <w:pPr>
              <w:spacing w:line="400" w:lineRule="atLeast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摩托车配件（线束）的组装工艺：</w:t>
            </w:r>
          </w:p>
          <w:p>
            <w:pPr>
              <w:spacing w:line="400" w:lineRule="atLeast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零部件检验—下料—冲压端子—中接—配线组合、组缠—检验—包装入库</w:t>
            </w:r>
          </w:p>
          <w:p>
            <w:pPr>
              <w:spacing w:line="400" w:lineRule="atLeast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摩托车配件销售流程：</w:t>
            </w:r>
          </w:p>
          <w:p>
            <w:pPr>
              <w:spacing w:line="400" w:lineRule="atLeast"/>
              <w:jc w:val="left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客户订单合同---采购产品---销售---客户验收---售后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服务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Q8.3条款，本公司生产工艺及设备稳定，生产的产品严格按照国家标准或顾客要求进行，如有变更由客户进行更改</w:t>
            </w:r>
            <w:r>
              <w:rPr>
                <w:rFonts w:hint="eastAsia"/>
                <w:szCs w:val="21"/>
                <w:highlight w:val="none"/>
                <w:lang w:val="zh-CN"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</w:rPr>
              <w:t>故质量管理体系ISO9001:2015标准8.3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条款不</w:t>
            </w:r>
            <w:r>
              <w:rPr>
                <w:rFonts w:hint="eastAsia" w:ascii="宋体" w:hAnsi="宋体"/>
                <w:sz w:val="21"/>
                <w:szCs w:val="21"/>
              </w:rPr>
              <w:t>适用。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8.3条款的</w:t>
            </w:r>
            <w:r>
              <w:rPr>
                <w:rFonts w:hint="eastAsia"/>
                <w:szCs w:val="21"/>
                <w:highlight w:val="none"/>
                <w:lang w:val="zh-CN" w:eastAsia="zh-CN"/>
              </w:rPr>
              <w:t>删减不影响公司提供满足顾客要求和相关法律法规要求的能力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潜在火灾、固体废弃物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排放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火灾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伤害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人身意外伤害。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kern w:val="0"/>
                <w:szCs w:val="21"/>
                <w:u w:val="singl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公司拟定有《火灾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触电、意外伤害</w:t>
            </w:r>
            <w:r>
              <w:rPr>
                <w:rFonts w:hint="eastAsia"/>
                <w:szCs w:val="21"/>
                <w:highlight w:val="none"/>
              </w:rPr>
              <w:t>事故应急预案》，202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Cs w:val="21"/>
                <w:highlight w:val="none"/>
              </w:rPr>
              <w:t>月28日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进行了消防演习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05" w:type="dxa"/>
            <w:gridSpan w:val="2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25" w:type="dxa"/>
          </w:tcPr>
          <w:p>
            <w:pPr>
              <w:spacing w:line="40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低压电线、铜件、正负胶帽、喇叭、波纹管、挡泥板、绝缘胶带等</w:t>
            </w:r>
            <w:r>
              <w:rPr>
                <w:rFonts w:hint="eastAsia"/>
                <w:highlight w:val="none"/>
              </w:rPr>
              <w:t>。</w:t>
            </w:r>
          </w:p>
        </w:tc>
        <w:tc>
          <w:tcPr>
            <w:tcW w:w="1005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25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操作人员、销售人员。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05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80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625" w:type="dxa"/>
          </w:tcPr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主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</w:rPr>
              <w:t>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生产设备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</w:rPr>
              <w:t>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电脑、办公设备、电脑剥线机 、铜带机、端子冲压机 、热合机 、线束通断测试仪等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检测设备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数显卡尺、外径千分尺、线束检测仪、拉力测试机等。能提供数显卡尺、外径千分尺、线束检测仪的有效校准证书（见扫描件附件），其中拉力测试机未见有效校准证书。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005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Q/E/S:7.1</w:t>
            </w:r>
          </w:p>
          <w:p>
            <w:pPr>
              <w:spacing w:line="440" w:lineRule="exact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Q7.1.3</w:t>
            </w:r>
          </w:p>
          <w:p>
            <w:pPr>
              <w:spacing w:line="440" w:lineRule="exact"/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</w:p>
          <w:p>
            <w:pPr>
              <w:spacing w:line="440" w:lineRule="exact"/>
              <w:rPr>
                <w:rFonts w:hint="eastAsia" w:ascii="宋体" w:hAnsi="宋体" w:eastAsia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Q7.1.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5</w:t>
            </w:r>
          </w:p>
          <w:p>
            <w:pPr>
              <w:pStyle w:val="4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N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25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工业厂房内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6" w:type="dxa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25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005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80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625" w:type="dxa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二阶段质量管理体系宜重点关注（合同评审、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加工、检验指导书，产品放行</w:t>
            </w:r>
            <w:r>
              <w:rPr>
                <w:rFonts w:hint="eastAsia" w:ascii="宋体" w:hAnsi="宋体"/>
                <w:szCs w:val="21"/>
              </w:rPr>
              <w:t>等）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生技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szCs w:val="21"/>
              </w:rPr>
              <w:t>部</w:t>
            </w:r>
          </w:p>
          <w:p>
            <w:pPr>
              <w:spacing w:line="400" w:lineRule="exact"/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重点审核过程：外部供应产品和服务的控制、顾客满意；产品和服务放行、不合格产品和服务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重点审核场所：办公场所、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场所。</w:t>
            </w:r>
          </w:p>
        </w:tc>
        <w:tc>
          <w:tcPr>
            <w:tcW w:w="1005" w:type="dxa"/>
            <w:gridSpan w:val="2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C12DF6"/>
    <w:rsid w:val="0E302EB3"/>
    <w:rsid w:val="11453EDA"/>
    <w:rsid w:val="12A03C17"/>
    <w:rsid w:val="14EB4471"/>
    <w:rsid w:val="180C737B"/>
    <w:rsid w:val="182A07AD"/>
    <w:rsid w:val="1959596B"/>
    <w:rsid w:val="19A304E0"/>
    <w:rsid w:val="1B6A6579"/>
    <w:rsid w:val="22A03BC6"/>
    <w:rsid w:val="25523E45"/>
    <w:rsid w:val="2D4B48BE"/>
    <w:rsid w:val="30394FD1"/>
    <w:rsid w:val="315C0224"/>
    <w:rsid w:val="31D8706B"/>
    <w:rsid w:val="36645DEB"/>
    <w:rsid w:val="36877107"/>
    <w:rsid w:val="38EB023B"/>
    <w:rsid w:val="44D12B6C"/>
    <w:rsid w:val="45BA3787"/>
    <w:rsid w:val="46381A83"/>
    <w:rsid w:val="481D358C"/>
    <w:rsid w:val="4C67200D"/>
    <w:rsid w:val="4CE962E5"/>
    <w:rsid w:val="4DE06FF7"/>
    <w:rsid w:val="55992C8B"/>
    <w:rsid w:val="624E6C01"/>
    <w:rsid w:val="6644000C"/>
    <w:rsid w:val="67C807F4"/>
    <w:rsid w:val="68CF3BCB"/>
    <w:rsid w:val="6D8C46CB"/>
    <w:rsid w:val="71F32C01"/>
    <w:rsid w:val="76506AEA"/>
    <w:rsid w:val="77190E53"/>
    <w:rsid w:val="7BEF58C8"/>
    <w:rsid w:val="7DDC1B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Body Text"/>
    <w:basedOn w:val="1"/>
    <w:qFormat/>
    <w:uiPriority w:val="99"/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5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2021-07-03T01:41:45Z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AD90D379FEF14D89B0058D715C150573</vt:lpwstr>
  </property>
</Properties>
</file>