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重庆市璧山区渝峰摩托车配件有限公司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0608-2021-QEO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Cs w:val="21"/>
              </w:rPr>
              <w:t>9150022757480506XC</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highlight w:val="none"/>
              </w:rPr>
            </w:pPr>
            <w:r>
              <w:rPr>
                <w:rFonts w:hint="eastAsia"/>
                <w:color w:val="000000"/>
                <w:szCs w:val="21"/>
                <w:highlight w:val="none"/>
              </w:rPr>
              <w:t>提供所有影响符合性的外包过程的信息</w:t>
            </w:r>
          </w:p>
          <w:p>
            <w:pPr>
              <w:rPr>
                <w:color w:val="000000"/>
                <w:szCs w:val="21"/>
                <w:highlight w:val="none"/>
              </w:rPr>
            </w:pPr>
            <w:r>
              <w:rPr>
                <w:rFonts w:hint="eastAsia"/>
                <w:color w:val="000000"/>
                <w:szCs w:val="21"/>
                <w:highlight w:val="none"/>
              </w:rPr>
              <w:t>注：</w:t>
            </w:r>
          </w:p>
        </w:tc>
        <w:tc>
          <w:tcPr>
            <w:tcW w:w="1963" w:type="dxa"/>
          </w:tcPr>
          <w:p>
            <w:pPr>
              <w:rPr>
                <w:color w:val="000000"/>
                <w:szCs w:val="21"/>
                <w:highlight w:val="none"/>
              </w:rPr>
            </w:pPr>
            <w:r>
              <w:rPr>
                <w:rFonts w:hint="eastAsia"/>
                <w:color w:val="000000"/>
                <w:szCs w:val="21"/>
                <w:highlight w:val="none"/>
              </w:rPr>
              <w:t>与实际相符</w:t>
            </w:r>
          </w:p>
          <w:p>
            <w:pPr>
              <w:rPr>
                <w:color w:val="000000"/>
                <w:szCs w:val="21"/>
                <w:highlight w:val="none"/>
              </w:rPr>
            </w:pPr>
            <w:r>
              <w:rPr>
                <w:rFonts w:hint="eastAsia"/>
                <w:color w:val="000000"/>
                <w:szCs w:val="21"/>
                <w:highlight w:val="none"/>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15</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highlight w:val="none"/>
              </w:rPr>
            </w:pPr>
            <w:r>
              <w:rPr>
                <w:rFonts w:hint="eastAsia"/>
                <w:color w:val="000000"/>
                <w:szCs w:val="21"/>
                <w:highlight w:val="none"/>
              </w:rPr>
              <w:t>计量器具的管理</w:t>
            </w:r>
          </w:p>
          <w:p>
            <w:pPr>
              <w:rPr>
                <w:color w:val="000000"/>
                <w:szCs w:val="21"/>
                <w:highlight w:val="none"/>
              </w:rPr>
            </w:pPr>
            <w:r>
              <w:rPr>
                <w:rFonts w:hint="eastAsia"/>
                <w:color w:val="000000"/>
                <w:szCs w:val="21"/>
                <w:highlight w:val="none"/>
              </w:rPr>
              <w:t>强检计量器具的配置符合产品标准的检验要求</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强检计量器具全检且在有效期内</w:t>
            </w:r>
          </w:p>
        </w:tc>
        <w:tc>
          <w:tcPr>
            <w:tcW w:w="2814" w:type="dxa"/>
          </w:tcPr>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p>
            <w:pPr>
              <w:rPr>
                <w:color w:val="000000"/>
                <w:szCs w:val="21"/>
                <w:highlight w:val="none"/>
              </w:rPr>
            </w:pPr>
            <w:r>
              <w:rPr>
                <w:rFonts w:hint="eastAsia"/>
                <w:color w:val="000000"/>
                <w:szCs w:val="21"/>
                <w:highlight w:val="none"/>
              </w:rPr>
              <w:t>是</w:t>
            </w:r>
          </w:p>
          <w:p>
            <w:pPr>
              <w:rPr>
                <w:color w:val="000000"/>
                <w:szCs w:val="21"/>
                <w:highlight w:val="none"/>
              </w:rPr>
            </w:pPr>
            <w:r>
              <w:rPr>
                <w:rFonts w:hint="eastAsia"/>
                <w:color w:val="000000"/>
                <w:szCs w:val="21"/>
                <w:highlight w:val="none"/>
              </w:rPr>
              <w:t>否（</w:t>
            </w:r>
            <w:r>
              <w:rPr>
                <w:rFonts w:hint="eastAsia"/>
                <w:color w:val="000000"/>
                <w:szCs w:val="21"/>
                <w:highlight w:val="none"/>
                <w:lang w:val="en-US" w:eastAsia="zh-CN"/>
              </w:rPr>
              <w:t>立即安排送检</w:t>
            </w:r>
            <w:r>
              <w:rPr>
                <w:rFonts w:hint="eastAsia"/>
                <w:color w:val="000000"/>
                <w:szCs w:val="21"/>
                <w:highlight w:val="none"/>
              </w:rPr>
              <w:t>）</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highlight w:val="none"/>
              </w:rPr>
            </w:pPr>
            <w:r>
              <w:rPr>
                <w:rFonts w:hint="eastAsia"/>
                <w:color w:val="000000"/>
                <w:szCs w:val="21"/>
                <w:highlight w:val="none"/>
              </w:rPr>
              <w:t>特种设备的管理</w:t>
            </w:r>
          </w:p>
          <w:p>
            <w:pPr>
              <w:rPr>
                <w:color w:val="000000"/>
                <w:szCs w:val="21"/>
                <w:highlight w:val="none"/>
              </w:rPr>
            </w:pPr>
            <w:r>
              <w:rPr>
                <w:rFonts w:hint="eastAsia"/>
                <w:color w:val="000000"/>
                <w:szCs w:val="21"/>
                <w:highlight w:val="none"/>
              </w:rPr>
              <w:t>在用特种设备的检定</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停用特种设备的管理</w:t>
            </w:r>
          </w:p>
        </w:tc>
        <w:tc>
          <w:tcPr>
            <w:tcW w:w="2814" w:type="dxa"/>
          </w:tcPr>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bookmarkStart w:id="2" w:name="_GoBack" w:colFirst="1" w:colLast="2"/>
            <w:r>
              <w:rPr>
                <w:rFonts w:hint="eastAsia"/>
                <w:color w:val="000000"/>
              </w:rPr>
              <w:t>18</w:t>
            </w:r>
          </w:p>
        </w:tc>
        <w:tc>
          <w:tcPr>
            <w:tcW w:w="5405" w:type="dxa"/>
          </w:tcPr>
          <w:p>
            <w:pPr>
              <w:adjustRightInd w:val="0"/>
              <w:snapToGrid w:val="0"/>
              <w:rPr>
                <w:color w:val="000000"/>
                <w:szCs w:val="21"/>
                <w:highlight w:val="none"/>
              </w:rPr>
            </w:pPr>
            <w:r>
              <w:rPr>
                <w:rFonts w:hint="eastAsia"/>
                <w:color w:val="000000"/>
                <w:szCs w:val="21"/>
                <w:highlight w:val="none"/>
              </w:rPr>
              <w:t>国家对产品质量抽查报告或型式检验送检报告</w:t>
            </w:r>
          </w:p>
          <w:p>
            <w:pPr>
              <w:adjustRightInd w:val="0"/>
              <w:snapToGrid w:val="0"/>
              <w:rPr>
                <w:color w:val="000000"/>
                <w:szCs w:val="21"/>
                <w:highlight w:val="none"/>
              </w:rPr>
            </w:pPr>
          </w:p>
        </w:tc>
        <w:tc>
          <w:tcPr>
            <w:tcW w:w="2814" w:type="dxa"/>
          </w:tcPr>
          <w:p>
            <w:pPr>
              <w:adjustRightInd w:val="0"/>
              <w:snapToGrid w:val="0"/>
              <w:rPr>
                <w:color w:val="000000"/>
                <w:szCs w:val="21"/>
                <w:highlight w:val="none"/>
              </w:rPr>
            </w:pPr>
            <w:r>
              <w:rPr>
                <w:rFonts w:hint="eastAsia"/>
                <w:color w:val="000000"/>
                <w:szCs w:val="21"/>
                <w:highlight w:val="none"/>
              </w:rPr>
              <w:t>有</w:t>
            </w:r>
          </w:p>
          <w:p>
            <w:pPr>
              <w:adjustRightInd w:val="0"/>
              <w:snapToGrid w:val="0"/>
              <w:rPr>
                <w:color w:val="000000"/>
                <w:szCs w:val="21"/>
                <w:highlight w:val="none"/>
              </w:rPr>
            </w:pPr>
            <w:r>
              <w:rPr>
                <w:rFonts w:hint="eastAsia"/>
                <w:color w:val="000000"/>
                <w:szCs w:val="21"/>
                <w:highlight w:val="none"/>
              </w:rPr>
              <w:t>无</w:t>
            </w:r>
          </w:p>
          <w:p>
            <w:pPr>
              <w:adjustRightInd w:val="0"/>
              <w:snapToGrid w:val="0"/>
              <w:rPr>
                <w:color w:val="000000"/>
                <w:szCs w:val="21"/>
                <w:highlight w:val="none"/>
              </w:rPr>
            </w:pPr>
            <w:r>
              <w:rPr>
                <w:rFonts w:hint="eastAsia"/>
                <w:color w:val="000000"/>
                <w:szCs w:val="21"/>
                <w:highlight w:val="none"/>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ascii="宋体" w:hAnsi="宋体" w:eastAsia="宋体" w:cs="Times New Roman"/>
                <w:kern w:val="2"/>
                <w:sz w:val="21"/>
                <w:szCs w:val="22"/>
                <w:lang w:val="en-US" w:eastAsia="zh-CN" w:bidi="ar-SA"/>
              </w:rPr>
              <w:drawing>
                <wp:anchor distT="0" distB="0" distL="114300" distR="114300" simplePos="0" relativeHeight="251902976" behindDoc="0" locked="0" layoutInCell="1" allowOverlap="1">
                  <wp:simplePos x="0" y="0"/>
                  <wp:positionH relativeFrom="column">
                    <wp:posOffset>4043045</wp:posOffset>
                  </wp:positionH>
                  <wp:positionV relativeFrom="paragraph">
                    <wp:posOffset>7620</wp:posOffset>
                  </wp:positionV>
                  <wp:extent cx="334645" cy="310515"/>
                  <wp:effectExtent l="0" t="0" r="8255" b="6985"/>
                  <wp:wrapNone/>
                  <wp:docPr id="2"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e69cce4380e02713697e955d1ffd9"/>
                          <pic:cNvPicPr>
                            <a:picLocks noChangeAspect="1"/>
                          </pic:cNvPicPr>
                        </pic:nvPicPr>
                        <pic:blipFill>
                          <a:blip r:embed="rId5"/>
                          <a:stretch>
                            <a:fillRect/>
                          </a:stretch>
                        </pic:blipFill>
                        <pic:spPr>
                          <a:xfrm>
                            <a:off x="0" y="0"/>
                            <a:ext cx="334645" cy="31051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日期：2021年06月19日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日期：2021年06月19日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1B3CB3"/>
    <w:rsid w:val="70661A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2021-06-24T12:58:39Z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