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ascii="楷体" w:hAnsi="楷体" w:eastAsia="楷体"/>
          <w:b/>
          <w:color w:val="000000" w:themeColor="text1"/>
          <w:sz w:val="84"/>
          <w:szCs w:val="84"/>
        </w:rPr>
      </w:pPr>
      <w:r>
        <w:rPr>
          <w:rFonts w:hint="eastAsia" w:ascii="宋体" w:hAnsi="宋体"/>
          <w:sz w:val="18"/>
        </w:rPr>
        <w:t xml:space="preserve"> </w:t>
      </w:r>
      <w:r>
        <w:rPr>
          <w:rFonts w:hint="eastAsia" w:ascii="宋体" w:hAnsi="宋体"/>
          <w:b/>
          <w:bCs/>
          <w:sz w:val="24"/>
          <w:szCs w:val="24"/>
        </w:rPr>
        <w:t>编  号：</w:t>
      </w:r>
      <w:bookmarkStart w:id="0" w:name="合同编号"/>
      <w:r>
        <w:rPr>
          <w:b/>
          <w:bCs/>
          <w:sz w:val="24"/>
          <w:szCs w:val="24"/>
        </w:rPr>
        <w:t>0633-2021-EO</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重庆迪晟机械工业有限公司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E:29.12.00</w:t>
            </w:r>
          </w:p>
          <w:p>
            <w:pPr>
              <w:spacing w:line="240" w:lineRule="exact"/>
              <w:jc w:val="center"/>
              <w:rPr>
                <w:b/>
                <w:color w:val="000000" w:themeColor="text1"/>
                <w:sz w:val="20"/>
                <w:szCs w:val="20"/>
              </w:rPr>
            </w:pPr>
            <w:r>
              <w:rPr>
                <w:b/>
                <w:color w:val="000000" w:themeColor="text1"/>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E：GB/T 24001-2016/ISO14001:2015,O：GB/T45001-2020 / ISO45001：2018</w:t>
      </w:r>
      <w:bookmarkEnd w:id="5"/>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重庆迪晟机械工业有限公司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9</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重庆市北碚区澄江镇五一村烟湖滩社</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400700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重庆市北碚区前进村大房子社</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400700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张亮</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18375750579</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张亮</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张亮</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王莉</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E：机械零部件、仪器仪表、包装纸制品的销售所涉及场所的相关环境管理活动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O：机械零部件、仪器仪表、包装纸制品的销售所涉及场所的相关职业健康安全管理活动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E：29.12.00</w:t>
            </w:r>
          </w:p>
          <w:p>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cs="宋体" w:hAnsiTheme="minorHAnsi"/>
                <w:color w:val="000000" w:themeColor="text1"/>
                <w:kern w:val="0"/>
                <w:sz w:val="20"/>
                <w:szCs w:val="20"/>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2021-01-01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行政部（含财务）</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方针、目标管理；文件、记录控制程；管理评审；内审管理；人员、部门职能职责和权限；风险识别评价管理；环境因素识别评价管理；纠正和预防措施控制；监视和测量设备管理；设备设施管理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供销部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不合格品控制；合同管理；外部供方管理；产品验收管理；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eastAsia" w:eastAsia="宋体"/>
                <w:b/>
                <w:sz w:val="20"/>
                <w:szCs w:val="20"/>
                <w:lang w:eastAsia="zh-CN"/>
              </w:rPr>
            </w:pPr>
            <w:r>
              <w:rPr>
                <w:rFonts w:hint="eastAsia" w:ascii="宋体" w:hAnsi="宋体"/>
                <w:szCs w:val="21"/>
              </w:rPr>
              <w:t>机械零部件、仪器仪表、包装纸制品的销售</w:t>
            </w:r>
          </w:p>
        </w:tc>
        <w:tc>
          <w:tcPr>
            <w:tcW w:w="2519" w:type="dxa"/>
          </w:tcPr>
          <w:p>
            <w:pPr>
              <w:rPr>
                <w:b/>
                <w:sz w:val="20"/>
                <w:szCs w:val="20"/>
              </w:rPr>
            </w:pPr>
            <w:r>
              <w:rPr>
                <w:rFonts w:hint="eastAsia"/>
                <w:b/>
                <w:sz w:val="20"/>
                <w:szCs w:val="20"/>
              </w:rPr>
              <w:t>服务</w:t>
            </w:r>
          </w:p>
        </w:tc>
        <w:tc>
          <w:tcPr>
            <w:tcW w:w="1843" w:type="dxa"/>
          </w:tcPr>
          <w:p>
            <w:pPr>
              <w:rPr>
                <w:b/>
                <w:sz w:val="20"/>
                <w:szCs w:val="20"/>
              </w:rPr>
            </w:pPr>
          </w:p>
        </w:tc>
        <w:tc>
          <w:tcPr>
            <w:tcW w:w="3543" w:type="dxa"/>
          </w:tcPr>
          <w:p>
            <w:pPr>
              <w:rPr>
                <w:b/>
                <w:sz w:val="20"/>
                <w:szCs w:val="20"/>
              </w:rPr>
            </w:pPr>
            <w:r>
              <w:rPr>
                <w:rFonts w:hint="eastAsia" w:ascii="宋体" w:hAnsi="宋体" w:eastAsia="宋体"/>
                <w:szCs w:val="21"/>
              </w:rPr>
              <w:t>线性尺寸的未注公差</w:t>
            </w:r>
            <w:r>
              <w:rPr>
                <w:rFonts w:hint="eastAsia" w:ascii="宋体" w:hAnsi="宋体" w:eastAsia="宋体"/>
                <w:szCs w:val="21"/>
                <w:lang w:eastAsia="zh-CN"/>
              </w:rPr>
              <w:t>（</w:t>
            </w:r>
            <w:r>
              <w:rPr>
                <w:rFonts w:hint="eastAsia" w:ascii="宋体" w:hAnsi="宋体" w:eastAsia="宋体"/>
                <w:szCs w:val="21"/>
              </w:rPr>
              <w:t>GB/T1804-f</w:t>
            </w:r>
            <w:r>
              <w:rPr>
                <w:rFonts w:hint="eastAsia" w:ascii="宋体" w:hAnsi="宋体" w:eastAsia="宋体"/>
                <w:szCs w:val="21"/>
                <w:lang w:eastAsia="zh-CN"/>
              </w:rPr>
              <w:t>）、</w:t>
            </w:r>
            <w:r>
              <w:rPr>
                <w:rFonts w:hint="eastAsia" w:ascii="宋体" w:hAnsi="宋体" w:eastAsia="宋体"/>
                <w:szCs w:val="21"/>
              </w:rPr>
              <w:t>形位的未注公差</w:t>
            </w:r>
            <w:r>
              <w:rPr>
                <w:rFonts w:hint="eastAsia" w:ascii="宋体" w:hAnsi="宋体" w:eastAsia="宋体"/>
                <w:szCs w:val="21"/>
                <w:lang w:eastAsia="zh-CN"/>
              </w:rPr>
              <w:t>（</w:t>
            </w:r>
            <w:r>
              <w:rPr>
                <w:rFonts w:hint="eastAsia" w:ascii="宋体" w:hAnsi="宋体" w:eastAsia="宋体"/>
                <w:szCs w:val="21"/>
              </w:rPr>
              <w:t>GB/T1184-H</w:t>
            </w:r>
            <w:r>
              <w:rPr>
                <w:rFonts w:hint="eastAsia" w:ascii="宋体" w:hAnsi="宋体" w:eastAsia="宋体"/>
                <w:szCs w:val="21"/>
                <w:lang w:eastAsia="zh-CN"/>
              </w:rPr>
              <w:t>）、</w:t>
            </w:r>
            <w:r>
              <w:rPr>
                <w:rFonts w:hint="eastAsia" w:ascii="宋体" w:hAnsi="宋体" w:eastAsia="宋体"/>
                <w:szCs w:val="21"/>
              </w:rPr>
              <w:t>运输包装用单瓦楞纸箱和双瓦楞纸箱GB/T6543-2008</w:t>
            </w:r>
            <w:r>
              <w:rPr>
                <w:rFonts w:hint="eastAsia" w:ascii="宋体" w:hAnsi="宋体" w:eastAsia="宋体"/>
                <w:szCs w:val="21"/>
                <w:lang w:eastAsia="zh-CN"/>
              </w:rPr>
              <w:t>、</w:t>
            </w:r>
            <w:r>
              <w:rPr>
                <w:rFonts w:hint="eastAsia" w:ascii="宋体" w:hAnsi="宋体" w:eastAsia="宋体"/>
                <w:szCs w:val="21"/>
                <w:lang w:val="en-US" w:eastAsia="zh-CN"/>
              </w:rPr>
              <w:t>纸箱板-GB/T3024-2016</w:t>
            </w:r>
            <w:r>
              <w:rPr>
                <w:rFonts w:hint="eastAsia" w:ascii="宋体" w:hAnsi="宋体" w:eastAsia="宋体"/>
                <w:szCs w:val="21"/>
                <w:lang w:eastAsia="zh-CN"/>
              </w:rPr>
              <w:t>、</w:t>
            </w:r>
            <w:r>
              <w:rPr>
                <w:rFonts w:hint="eastAsia" w:ascii="宋体" w:hAnsi="宋体" w:eastAsia="宋体"/>
                <w:szCs w:val="21"/>
              </w:rPr>
              <w:t>中华人民共和国产品质量法、中华人民共和国消费者权益保护法、合同协议。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b/>
          <w:color w:val="000000" w:themeColor="text1"/>
          <w:spacing w:val="-10"/>
          <w:szCs w:val="21"/>
        </w:rPr>
        <w:t xml:space="preserve"> 体系运行时间</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21</w:t>
      </w:r>
      <w:r>
        <w:rPr>
          <w:rFonts w:hint="eastAsia"/>
          <w:b/>
          <w:color w:val="000000" w:themeColor="text1"/>
          <w:spacing w:val="-10"/>
          <w:szCs w:val="21"/>
        </w:rPr>
        <w:t>年</w:t>
      </w:r>
      <w:r>
        <w:rPr>
          <w:rFonts w:hint="eastAsia"/>
          <w:b/>
          <w:color w:val="000000" w:themeColor="text1"/>
          <w:spacing w:val="-10"/>
          <w:szCs w:val="21"/>
          <w:u w:val="single"/>
          <w:lang w:val="en-US" w:eastAsia="zh-CN"/>
        </w:rPr>
        <w:t>1</w:t>
      </w:r>
      <w:r>
        <w:rPr>
          <w:rFonts w:hint="eastAsia"/>
          <w:b/>
          <w:color w:val="000000" w:themeColor="text1"/>
          <w:spacing w:val="-10"/>
          <w:szCs w:val="21"/>
        </w:rPr>
        <w:t>月</w:t>
      </w:r>
      <w:bookmarkStart w:id="21" w:name="OLE_LINK1"/>
      <w:r>
        <w:rPr>
          <w:rFonts w:hint="eastAsia"/>
          <w:b/>
          <w:color w:val="000000" w:themeColor="text1"/>
          <w:spacing w:val="-10"/>
          <w:szCs w:val="21"/>
          <w:u w:val="single"/>
        </w:rPr>
        <w:t>1</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u w:val="single"/>
        </w:rPr>
        <w:t xml:space="preserve">  202</w:t>
      </w:r>
      <w:r>
        <w:rPr>
          <w:rFonts w:hint="eastAsia"/>
          <w:b/>
          <w:color w:val="000000" w:themeColor="text1"/>
          <w:spacing w:val="-10"/>
          <w:szCs w:val="21"/>
          <w:u w:val="single"/>
          <w:lang w:val="en-US" w:eastAsia="zh-CN"/>
        </w:rPr>
        <w:t>1</w:t>
      </w:r>
      <w:r>
        <w:rPr>
          <w:rFonts w:hint="eastAsia"/>
          <w:b/>
          <w:color w:val="000000" w:themeColor="text1"/>
          <w:spacing w:val="-10"/>
          <w:szCs w:val="21"/>
        </w:rPr>
        <w:t>年</w:t>
      </w:r>
      <w:r>
        <w:rPr>
          <w:rFonts w:hint="eastAsia"/>
          <w:b/>
          <w:color w:val="000000" w:themeColor="text1"/>
          <w:spacing w:val="-10"/>
          <w:szCs w:val="21"/>
          <w:u w:val="single"/>
          <w:lang w:val="en-US" w:eastAsia="zh-CN"/>
        </w:rPr>
        <w:t>6</w:t>
      </w:r>
      <w:r>
        <w:rPr>
          <w:rFonts w:hint="eastAsia"/>
          <w:b/>
          <w:color w:val="000000" w:themeColor="text1"/>
          <w:spacing w:val="-10"/>
          <w:szCs w:val="21"/>
        </w:rPr>
        <w:t>月</w:t>
      </w:r>
      <w:r>
        <w:rPr>
          <w:rFonts w:hint="eastAsia"/>
          <w:b/>
          <w:color w:val="000000" w:themeColor="text1"/>
          <w:spacing w:val="-10"/>
          <w:szCs w:val="21"/>
          <w:u w:val="single"/>
          <w:lang w:val="en-US" w:eastAsia="zh-CN"/>
        </w:rPr>
        <w:t>22</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rPr>
                <w:rFonts w:hAnsi="宋体" w:cs="宋体"/>
                <w:sz w:val="21"/>
                <w:szCs w:val="21"/>
              </w:rPr>
            </w:pPr>
            <w:r>
              <w:rPr>
                <w:rFonts w:hint="eastAsia" w:hAnsi="宋体" w:cs="宋体"/>
                <w:sz w:val="21"/>
                <w:szCs w:val="21"/>
                <w:highlight w:val="none"/>
              </w:rPr>
              <w:t>重庆迪晟机械工业有限公司是一家专业从事机械零部件生产、销售的公司，主要服务于汽车、摩托车行业</w:t>
            </w:r>
            <w:r>
              <w:rPr>
                <w:rFonts w:hint="eastAsia" w:hAnsi="宋体" w:cs="宋体"/>
                <w:sz w:val="21"/>
                <w:szCs w:val="21"/>
                <w:highlight w:val="none"/>
                <w:lang w:eastAsia="zh-CN"/>
              </w:rPr>
              <w:t>。</w:t>
            </w:r>
            <w:r>
              <w:rPr>
                <w:rFonts w:hint="eastAsia" w:hAnsi="宋体" w:cs="宋体"/>
                <w:sz w:val="21"/>
                <w:szCs w:val="21"/>
                <w:highlight w:val="none"/>
              </w:rPr>
              <w:t>目前员工人数</w:t>
            </w:r>
            <w:r>
              <w:rPr>
                <w:rFonts w:hint="eastAsia" w:hAnsi="宋体" w:cs="宋体"/>
                <w:sz w:val="21"/>
                <w:szCs w:val="21"/>
                <w:highlight w:val="none"/>
                <w:lang w:val="en-US" w:eastAsia="zh-CN"/>
              </w:rPr>
              <w:t>9</w:t>
            </w:r>
            <w:r>
              <w:rPr>
                <w:rFonts w:hint="eastAsia" w:hAnsi="宋体" w:cs="宋体"/>
                <w:sz w:val="21"/>
                <w:szCs w:val="21"/>
                <w:highlight w:val="none"/>
              </w:rPr>
              <w:t>人，经营状况良好。</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jc w:val="left"/>
              <w:rPr>
                <w:rFonts w:hint="eastAsia"/>
                <w:szCs w:val="22"/>
                <w:lang w:eastAsia="zh-CN"/>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ascii="宋体" w:hAnsi="宋体" w:cs="宋体"/>
                <w:szCs w:val="21"/>
              </w:rPr>
              <w:t>环境管理</w:t>
            </w:r>
            <w:r>
              <w:rPr>
                <w:rFonts w:hint="eastAsia" w:ascii="宋体" w:hAnsi="宋体" w:cs="宋体"/>
                <w:szCs w:val="21"/>
                <w:lang w:eastAsia="zh-CN"/>
              </w:rPr>
              <w:t>、</w:t>
            </w:r>
            <w:r>
              <w:rPr>
                <w:rFonts w:hint="eastAsia" w:asciiTheme="minorEastAsia" w:hAnsiTheme="minorEastAsia" w:eastAsiaTheme="minorEastAsia" w:cstheme="minorEastAsia"/>
                <w:szCs w:val="21"/>
              </w:rPr>
              <w:t>职业健康安全</w:t>
            </w:r>
            <w:r>
              <w:rPr>
                <w:rFonts w:hint="eastAsia" w:ascii="宋体" w:hAnsi="宋体" w:cs="宋体"/>
                <w:szCs w:val="21"/>
              </w:rPr>
              <w:t>方针：</w:t>
            </w:r>
            <w:r>
              <w:rPr>
                <w:rFonts w:hint="eastAsia"/>
                <w:szCs w:val="22"/>
                <w:lang w:eastAsia="zh-CN"/>
              </w:rPr>
              <w:t>“保障安全  预防污染  遵守法规  持续改进”。</w:t>
            </w:r>
          </w:p>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highlight w:val="green"/>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0" o:spid="_x0000_s2050" o:spt="32" type="#_x0000_t32" style="position:absolute;left:0pt;margin-left:157.9pt;margin-top:12.75pt;height:0pt;width:261.75pt;z-index:251662336;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，不适用理由：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组织建立了危险源识别、评价控制程序，识别评价了危险源、风险相关的过程，评价出了重要危险源，与之相关的过程有客户开发、销售，针对重要危险源制定了管理方案。控制措施实施有效。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pPr>
              <w:ind w:firstLine="1365" w:firstLineChars="650"/>
              <w:rPr>
                <w:highlight w:val="green"/>
              </w:rPr>
            </w:pPr>
            <w:r>
              <w:rPr>
                <w:rFonts w:hint="eastAsia"/>
              </w:rPr>
              <w:t>环境、职业健康安全目标：（考核时间20</w:t>
            </w:r>
            <w:r>
              <w:rPr>
                <w:rFonts w:hint="eastAsia"/>
                <w:lang w:val="en-US" w:eastAsia="zh-CN"/>
              </w:rPr>
              <w:t>21</w:t>
            </w:r>
            <w:r>
              <w:rPr>
                <w:rFonts w:hint="eastAsia"/>
              </w:rPr>
              <w:t>年</w:t>
            </w:r>
            <w:r>
              <w:rPr>
                <w:rFonts w:hint="eastAsia"/>
                <w:lang w:val="en-US" w:eastAsia="zh-CN"/>
              </w:rPr>
              <w:t>1</w:t>
            </w:r>
            <w:r>
              <w:rPr>
                <w:rFonts w:hint="eastAsia"/>
              </w:rPr>
              <w:t>月-202</w:t>
            </w:r>
            <w:r>
              <w:rPr>
                <w:rFonts w:hint="eastAsia"/>
                <w:lang w:val="en-US" w:eastAsia="zh-CN"/>
              </w:rPr>
              <w:t>1</w:t>
            </w:r>
            <w:r>
              <w:rPr>
                <w:rFonts w:hint="eastAsia"/>
              </w:rPr>
              <w:t>年</w:t>
            </w:r>
            <w:r>
              <w:rPr>
                <w:rFonts w:hint="eastAsia"/>
                <w:lang w:val="en-US" w:eastAsia="zh-CN"/>
              </w:rPr>
              <w:t>5</w:t>
            </w:r>
            <w:r>
              <w:rPr>
                <w:rFonts w:hint="eastAsia"/>
              </w:rPr>
              <w:t>月）</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宋体" w:hAnsi="宋体" w:cs="Tahoma"/>
                <w:kern w:val="0"/>
                <w:sz w:val="21"/>
                <w:szCs w:val="21"/>
              </w:rPr>
              <w:t>固废处置率100%</w:t>
            </w:r>
            <w:r>
              <w:rPr>
                <w:rFonts w:hint="eastAsia" w:ascii="宋体" w:hAnsi="宋体" w:cs="Tahoma"/>
                <w:kern w:val="0"/>
                <w:sz w:val="21"/>
                <w:szCs w:val="21"/>
                <w:lang w:val="en-US" w:eastAsia="zh-CN"/>
              </w:rPr>
              <w:t>；</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 xml:space="preserve"> 100%</w:t>
            </w:r>
          </w:p>
          <w:p>
            <w:pPr>
              <w:numPr>
                <w:ilvl w:val="0"/>
                <w:numId w:val="0"/>
              </w:numPr>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2、</w:t>
            </w:r>
            <w:r>
              <w:rPr>
                <w:rFonts w:hint="eastAsia" w:ascii="宋体" w:hAnsi="宋体" w:cs="Tahoma"/>
                <w:kern w:val="0"/>
                <w:sz w:val="21"/>
                <w:szCs w:val="21"/>
              </w:rPr>
              <w:t>火灾</w:t>
            </w:r>
            <w:r>
              <w:rPr>
                <w:rFonts w:hint="eastAsia" w:ascii="宋体" w:hAnsi="宋体" w:cs="Tahoma"/>
                <w:kern w:val="0"/>
                <w:sz w:val="21"/>
                <w:szCs w:val="21"/>
                <w:lang w:val="en-US" w:eastAsia="zh-CN"/>
              </w:rPr>
              <w:t>发生率</w:t>
            </w:r>
            <w:r>
              <w:rPr>
                <w:rFonts w:hint="eastAsia" w:ascii="宋体" w:hAnsi="宋体" w:cs="Tahoma"/>
                <w:kern w:val="0"/>
                <w:sz w:val="21"/>
                <w:szCs w:val="21"/>
              </w:rPr>
              <w:t>为零</w:t>
            </w:r>
            <w:r>
              <w:rPr>
                <w:rFonts w:hint="eastAsia"/>
                <w:lang w:eastAsia="zh-CN"/>
              </w:rPr>
              <w:t>；</w:t>
            </w:r>
            <w:r>
              <w:rPr>
                <w:rFonts w:hint="eastAsia"/>
                <w:lang w:val="en-US" w:eastAsia="zh-CN"/>
              </w:rPr>
              <w:t xml:space="preserve">                        </w:t>
            </w:r>
            <w:r>
              <w:rPr>
                <w:rFonts w:hint="eastAsia"/>
                <w:szCs w:val="21"/>
              </w:rPr>
              <w:t>无</w:t>
            </w:r>
            <w:r>
              <w:rPr>
                <w:rFonts w:hint="eastAsia" w:ascii="宋体" w:hAnsi="宋体" w:cs="Tahoma"/>
                <w:kern w:val="0"/>
                <w:sz w:val="21"/>
                <w:szCs w:val="21"/>
              </w:rPr>
              <w:t>火灾事件</w:t>
            </w:r>
            <w:r>
              <w:rPr>
                <w:rFonts w:hint="eastAsia"/>
                <w:szCs w:val="21"/>
              </w:rPr>
              <w:t>发生</w:t>
            </w:r>
            <w:r>
              <w:rPr>
                <w:rFonts w:hint="eastAsia" w:asciiTheme="minorEastAsia" w:hAnsiTheme="minorEastAsia" w:eastAsiaTheme="minorEastAsia" w:cstheme="minorEastAsia"/>
                <w:szCs w:val="21"/>
                <w:lang w:val="en-US" w:eastAsia="zh-CN"/>
              </w:rPr>
              <w:t xml:space="preserve">    </w:t>
            </w:r>
          </w:p>
          <w:p>
            <w:pPr>
              <w:numPr>
                <w:ilvl w:val="0"/>
                <w:numId w:val="0"/>
              </w:numPr>
              <w:jc w:val="left"/>
              <w:rPr>
                <w:rFonts w:ascii="宋体" w:hAnsi="宋体"/>
                <w:b/>
                <w:color w:val="000000" w:themeColor="text1"/>
              </w:rPr>
            </w:pP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w:t>
            </w:r>
            <w:r>
              <w:rPr>
                <w:rFonts w:hint="eastAsia" w:ascii="宋体" w:hAnsi="宋体" w:cs="Tahoma"/>
                <w:kern w:val="0"/>
                <w:sz w:val="21"/>
                <w:szCs w:val="21"/>
              </w:rPr>
              <w:t>环境污染事</w:t>
            </w:r>
            <w:r>
              <w:rPr>
                <w:rFonts w:hint="eastAsia" w:ascii="宋体" w:hAnsi="宋体" w:cs="Tahoma"/>
                <w:kern w:val="0"/>
                <w:sz w:val="21"/>
                <w:szCs w:val="21"/>
                <w:lang w:val="en-US" w:eastAsia="zh-CN"/>
              </w:rPr>
              <w:t>故</w:t>
            </w:r>
            <w:r>
              <w:rPr>
                <w:rFonts w:hint="eastAsia" w:ascii="宋体" w:hAnsi="宋体" w:cs="Tahoma"/>
                <w:kern w:val="0"/>
                <w:sz w:val="21"/>
                <w:szCs w:val="21"/>
              </w:rPr>
              <w:t>为零</w:t>
            </w:r>
            <w:r>
              <w:rPr>
                <w:rFonts w:hint="eastAsia" w:ascii="宋体" w:hAnsi="宋体" w:cs="Tahoma"/>
                <w:kern w:val="0"/>
                <w:sz w:val="21"/>
                <w:szCs w:val="21"/>
                <w:lang w:eastAsia="zh-CN"/>
              </w:rPr>
              <w:t>。</w:t>
            </w:r>
            <w:r>
              <w:rPr>
                <w:rFonts w:hint="eastAsia"/>
                <w:lang w:val="en-US" w:eastAsia="zh-CN"/>
              </w:rPr>
              <w:t xml:space="preserve">                  </w:t>
            </w:r>
            <w:r>
              <w:rPr>
                <w:rFonts w:hint="eastAsia"/>
                <w:szCs w:val="21"/>
              </w:rPr>
              <w:t>无</w:t>
            </w:r>
            <w:r>
              <w:rPr>
                <w:rFonts w:hint="eastAsia" w:ascii="宋体" w:hAnsi="宋体" w:cs="Tahoma"/>
                <w:kern w:val="0"/>
                <w:sz w:val="21"/>
                <w:szCs w:val="21"/>
              </w:rPr>
              <w:t>环境污染事</w:t>
            </w:r>
            <w:r>
              <w:rPr>
                <w:rFonts w:hint="eastAsia" w:ascii="宋体" w:hAnsi="宋体" w:cs="Tahoma"/>
                <w:kern w:val="0"/>
                <w:sz w:val="21"/>
                <w:szCs w:val="21"/>
                <w:lang w:val="en-US" w:eastAsia="zh-CN"/>
              </w:rPr>
              <w:t>故</w:t>
            </w:r>
            <w:r>
              <w:rPr>
                <w:rFonts w:hint="eastAsia"/>
                <w:szCs w:val="21"/>
              </w:rPr>
              <w:t>发生</w:t>
            </w:r>
            <w:r>
              <w:rPr>
                <w:rFonts w:hint="eastAsia" w:asciiTheme="minorEastAsia" w:hAnsiTheme="minorEastAsia" w:eastAsiaTheme="minorEastAsia" w:cstheme="minorEastAsia"/>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21</w:t>
            </w:r>
            <w:r>
              <w:rPr>
                <w:rFonts w:hint="eastAsia" w:ascii="宋体" w:hAnsi="宋体" w:cs="宋体"/>
                <w:color w:val="000000" w:themeColor="text1"/>
              </w:rPr>
              <w:t>年</w:t>
            </w:r>
            <w:r>
              <w:rPr>
                <w:rFonts w:hint="eastAsia" w:ascii="宋体" w:hAnsi="宋体" w:cs="宋体"/>
                <w:color w:val="000000" w:themeColor="text1"/>
                <w:lang w:val="en-US" w:eastAsia="zh-CN"/>
              </w:rPr>
              <w:t>1</w:t>
            </w:r>
            <w:r>
              <w:rPr>
                <w:rFonts w:hint="eastAsia" w:ascii="宋体" w:hAnsi="宋体" w:cs="宋体"/>
                <w:color w:val="000000" w:themeColor="text1"/>
              </w:rPr>
              <w:t>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
                <w:color w:val="000000" w:themeColor="text1"/>
                <w:sz w:val="20"/>
                <w:szCs w:val="20"/>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机械零部件、仪器仪表、包装纸制品的销售</w:t>
            </w:r>
            <w:r>
              <w:rPr>
                <w:rFonts w:hint="eastAsia" w:ascii="宋体" w:hAnsi="宋体"/>
                <w:bCs/>
                <w:iCs/>
                <w:szCs w:val="22"/>
              </w:rPr>
              <w:t>运行环境，可以维持管理体系的正常运行。</w:t>
            </w: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400" w:lineRule="exact"/>
              <w:rPr>
                <w:rFonts w:ascii="宋体" w:hAnsi="宋体"/>
                <w:b/>
                <w:color w:val="000000" w:themeColor="text1"/>
                <w:sz w:val="20"/>
                <w:szCs w:val="20"/>
              </w:rPr>
            </w:pPr>
            <w:r>
              <w:rPr>
                <w:rFonts w:hint="eastAsia" w:ascii="宋体" w:hAnsi="宋体"/>
                <w:b/>
                <w:color w:val="000000" w:themeColor="text1"/>
                <w:sz w:val="20"/>
                <w:szCs w:val="20"/>
              </w:rPr>
              <w:t>设备设施（包</w:t>
            </w:r>
            <w:r>
              <w:rPr>
                <w:rFonts w:hint="eastAsia" w:ascii="宋体" w:hAnsi="宋体"/>
                <w:b/>
                <w:color w:val="000000" w:themeColor="text1"/>
                <w:sz w:val="20"/>
                <w:szCs w:val="20"/>
                <w:highlight w:val="none"/>
              </w:rPr>
              <w:t>括信息系统）、</w:t>
            </w:r>
            <w:r>
              <w:rPr>
                <w:rFonts w:hint="eastAsia" w:ascii="宋体" w:hAnsi="宋体" w:eastAsia="宋体" w:cs="宋体"/>
                <w:szCs w:val="21"/>
                <w:highlight w:val="none"/>
              </w:rPr>
              <w:t>办公场所面积</w:t>
            </w:r>
            <w:r>
              <w:rPr>
                <w:rFonts w:hint="eastAsia" w:ascii="宋体" w:hAnsi="宋体" w:eastAsia="宋体" w:cs="宋体"/>
                <w:szCs w:val="21"/>
                <w:highlight w:val="none"/>
                <w:lang w:val="en-US" w:eastAsia="zh-CN"/>
              </w:rPr>
              <w:t>80</w:t>
            </w:r>
            <w:r>
              <w:rPr>
                <w:rFonts w:hint="eastAsia" w:ascii="宋体" w:hAnsi="宋体" w:eastAsia="宋体" w:cs="宋体"/>
                <w:szCs w:val="21"/>
                <w:highlight w:val="none"/>
              </w:rPr>
              <w:t>平方左右，</w:t>
            </w:r>
            <w:r>
              <w:rPr>
                <w:rFonts w:hint="eastAsia" w:ascii="宋体" w:hAnsi="宋体" w:eastAsia="宋体" w:cs="宋体"/>
                <w:szCs w:val="21"/>
                <w:highlight w:val="none"/>
                <w:lang w:eastAsia="zh-CN"/>
              </w:rPr>
              <w:t>设有</w:t>
            </w:r>
            <w:r>
              <w:rPr>
                <w:rFonts w:hint="eastAsia" w:ascii="宋体" w:hAnsi="宋体" w:eastAsia="宋体" w:cs="宋体"/>
                <w:szCs w:val="21"/>
                <w:highlight w:val="none"/>
                <w:lang w:val="en-US" w:eastAsia="zh-CN"/>
              </w:rPr>
              <w:t>200平方米库房，产品装卸使用人工作业</w:t>
            </w:r>
            <w:r>
              <w:rPr>
                <w:rFonts w:hint="eastAsia" w:ascii="宋体" w:hAnsi="宋体" w:eastAsia="宋体" w:cs="宋体"/>
                <w:szCs w:val="21"/>
                <w:highlight w:val="none"/>
              </w:rPr>
              <w:t>。主要生产设备包括电脑和办</w:t>
            </w:r>
            <w:r>
              <w:rPr>
                <w:rFonts w:hint="eastAsia" w:ascii="宋体" w:hAnsi="宋体" w:cs="宋体"/>
                <w:szCs w:val="21"/>
                <w:highlight w:val="none"/>
              </w:rPr>
              <w:t>公设备</w:t>
            </w:r>
            <w:r>
              <w:rPr>
                <w:rFonts w:hint="eastAsia" w:ascii="宋体" w:hAnsi="宋体"/>
                <w:szCs w:val="21"/>
                <w:highlight w:val="none"/>
              </w:rPr>
              <w:t>，可以满足</w:t>
            </w:r>
            <w:r>
              <w:rPr>
                <w:rFonts w:hint="eastAsia" w:ascii="宋体" w:hAnsi="宋体"/>
                <w:szCs w:val="21"/>
              </w:rPr>
              <w:t>机械零部件、仪器仪表、包装纸制品的销售</w:t>
            </w:r>
            <w:r>
              <w:rPr>
                <w:rFonts w:hint="eastAsia" w:ascii="宋体" w:hAnsi="宋体"/>
                <w:color w:val="auto"/>
                <w:szCs w:val="21"/>
                <w:highlight w:val="none"/>
              </w:rPr>
              <w:t>的需要</w:t>
            </w:r>
            <w:r>
              <w:rPr>
                <w:rFonts w:hint="eastAsia" w:ascii="宋体" w:hAnsi="宋体" w:cs="宋体"/>
                <w:color w:val="auto"/>
                <w:szCs w:val="21"/>
                <w:highlight w:val="none"/>
              </w:rPr>
              <w:t>。</w:t>
            </w:r>
            <w:r>
              <w:rPr>
                <w:rFonts w:hint="eastAsia" w:ascii="宋体" w:hAnsi="宋体" w:cs="宋体"/>
                <w:szCs w:val="21"/>
                <w:highlight w:val="none"/>
              </w:rPr>
              <w:t>对设备按月方式进行点检维护保养，并实施。特种设备：无。公司未建立信息管理系统用于生产和服务。</w:t>
            </w:r>
          </w:p>
          <w:p>
            <w:pPr>
              <w:spacing w:line="240" w:lineRule="exact"/>
              <w:rPr>
                <w:rFonts w:ascii="宋体" w:hAnsi="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办公场所内设备布置合理，通道畅通，照明设施齐全，均配备了消防设施等设施。办公室明亮</w:t>
            </w:r>
            <w:r>
              <w:rPr>
                <w:rFonts w:hint="eastAsia" w:ascii="宋体" w:hAnsi="宋体" w:cs="宋体"/>
                <w:szCs w:val="21"/>
                <w:lang w:eastAsia="zh-CN"/>
              </w:rPr>
              <w:t>，</w:t>
            </w:r>
            <w:r>
              <w:rPr>
                <w:rFonts w:hint="eastAsia" w:ascii="宋体" w:hAnsi="宋体" w:cs="宋体"/>
                <w:szCs w:val="21"/>
              </w:rPr>
              <w:t>光线较充足。每月由</w:t>
            </w:r>
            <w:r>
              <w:rPr>
                <w:rFonts w:hint="eastAsia" w:ascii="宋体" w:hAnsi="宋体" w:cs="宋体"/>
                <w:szCs w:val="21"/>
                <w:lang w:eastAsia="zh-CN"/>
              </w:rPr>
              <w:t>行政部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sz w:val="20"/>
                <w:szCs w:val="20"/>
              </w:rPr>
            </w:pPr>
            <w:r>
              <w:rPr>
                <w:rFonts w:hint="eastAsia" w:ascii="宋体"/>
                <w:color w:val="000000"/>
                <w:sz w:val="20"/>
                <w:szCs w:val="20"/>
                <w:highlight w:val="none"/>
                <w:lang w:eastAsia="zh-CN"/>
              </w:rPr>
              <w:t>配置有：</w:t>
            </w:r>
            <w:r>
              <w:rPr>
                <w:rFonts w:hint="eastAsia" w:ascii="宋体"/>
                <w:color w:val="000000"/>
                <w:sz w:val="20"/>
                <w:szCs w:val="20"/>
                <w:highlight w:val="none"/>
                <w:lang w:val="en-US" w:eastAsia="zh-CN"/>
              </w:rPr>
              <w:t>游标卡尺、千分尺</w:t>
            </w:r>
            <w:r>
              <w:rPr>
                <w:rFonts w:hint="eastAsia" w:ascii="宋体"/>
                <w:color w:val="000000"/>
                <w:sz w:val="20"/>
                <w:szCs w:val="20"/>
                <w:highlight w:val="none"/>
                <w:lang w:eastAsia="zh-CN"/>
              </w:rPr>
              <w:t>、</w:t>
            </w:r>
            <w:r>
              <w:rPr>
                <w:rFonts w:hint="eastAsia" w:ascii="宋体"/>
                <w:color w:val="000000"/>
                <w:sz w:val="20"/>
                <w:szCs w:val="20"/>
                <w:highlight w:val="none"/>
                <w:lang w:val="en-US" w:eastAsia="zh-CN"/>
              </w:rPr>
              <w:t>电子计价秤</w:t>
            </w:r>
            <w:r>
              <w:rPr>
                <w:rFonts w:hint="eastAsia" w:ascii="宋体"/>
                <w:color w:val="000000"/>
                <w:sz w:val="20"/>
                <w:szCs w:val="20"/>
                <w:highlight w:val="none"/>
                <w:lang w:eastAsia="zh-CN"/>
              </w:rPr>
              <w:t>等检测设备。销售的</w:t>
            </w:r>
            <w:r>
              <w:rPr>
                <w:sz w:val="20"/>
                <w:highlight w:val="none"/>
              </w:rPr>
              <w:t>机械零部件</w:t>
            </w:r>
            <w:r>
              <w:rPr>
                <w:rFonts w:hint="eastAsia"/>
                <w:sz w:val="20"/>
                <w:highlight w:val="none"/>
                <w:lang w:val="en-US" w:eastAsia="zh-CN"/>
              </w:rPr>
              <w:t>由顾客直接检验验收，销售的</w:t>
            </w:r>
            <w:r>
              <w:rPr>
                <w:sz w:val="20"/>
                <w:highlight w:val="none"/>
              </w:rPr>
              <w:t>仪器仪表、包装纸制品</w:t>
            </w:r>
            <w:r>
              <w:rPr>
                <w:rFonts w:hint="eastAsia" w:ascii="宋体"/>
                <w:color w:val="000000"/>
                <w:sz w:val="20"/>
                <w:szCs w:val="20"/>
                <w:highlight w:val="none"/>
                <w:lang w:val="en-US" w:eastAsia="zh-CN"/>
              </w:rPr>
              <w:t>由顾客</w:t>
            </w:r>
            <w:r>
              <w:rPr>
                <w:rFonts w:hint="eastAsia" w:ascii="宋体"/>
                <w:color w:val="000000"/>
                <w:sz w:val="20"/>
                <w:szCs w:val="20"/>
                <w:highlight w:val="none"/>
                <w:lang w:eastAsia="zh-CN"/>
              </w:rPr>
              <w:t>按约定要求进行</w:t>
            </w:r>
            <w:r>
              <w:rPr>
                <w:rFonts w:hint="eastAsia" w:ascii="宋体"/>
                <w:color w:val="000000"/>
                <w:sz w:val="20"/>
                <w:szCs w:val="20"/>
                <w:highlight w:val="none"/>
              </w:rPr>
              <w:t>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重要环境因素为固废排放和潜在火灾，需要应对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组织建立了危险源识别、评价控制程序，识别评价了危险源、风险相关的过程，评价出了重要危险源（火灾、</w:t>
            </w:r>
            <w:r>
              <w:rPr>
                <w:rFonts w:hint="eastAsia" w:asciiTheme="minorEastAsia" w:hAnsiTheme="minorEastAsia" w:eastAsiaTheme="minorEastAsia"/>
                <w:bCs/>
                <w:iCs/>
                <w:lang w:val="en-US" w:eastAsia="zh-CN"/>
              </w:rPr>
              <w:t>中暑</w:t>
            </w:r>
            <w:r>
              <w:rPr>
                <w:rFonts w:hint="eastAsia" w:asciiTheme="minorEastAsia" w:hAnsiTheme="minorEastAsia" w:eastAsiaTheme="minorEastAsia"/>
                <w:bCs/>
                <w:iCs/>
              </w:rPr>
              <w:t>等），与之相关的过程有客户需求分析、合同签订、销售过程，针对不可接受风险制定了管理方案。控制措施实施有效。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w:t>
            </w:r>
            <w:r>
              <w:rPr>
                <w:rFonts w:hint="eastAsia" w:asciiTheme="minorEastAsia" w:hAnsiTheme="minorEastAsia" w:eastAsiaTheme="minorEastAsia"/>
                <w:bCs/>
                <w:iCs/>
                <w:color w:val="auto"/>
              </w:rPr>
              <w:t>，</w:t>
            </w:r>
            <w:r>
              <w:rPr>
                <w:rFonts w:hint="eastAsia" w:asciiTheme="minorEastAsia" w:hAnsiTheme="minorEastAsia" w:eastAsiaTheme="minorEastAsia"/>
                <w:bCs/>
                <w:iCs/>
                <w:color w:val="auto"/>
                <w:lang w:eastAsia="zh-CN"/>
              </w:rPr>
              <w:t>并</w:t>
            </w:r>
            <w:r>
              <w:rPr>
                <w:rFonts w:hint="eastAsia" w:asciiTheme="minorEastAsia" w:hAnsiTheme="minorEastAsia" w:eastAsiaTheme="minorEastAsia"/>
                <w:bCs/>
                <w:iCs/>
                <w:color w:val="auto"/>
              </w:rPr>
              <w:t>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10. 对特种设备的维护; （适用时）</w:t>
            </w:r>
          </w:p>
          <w:p>
            <w:pPr>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11 .对危险化学品销售、使用、储存、运输处置，规定的执行力度(必要时); （适用时）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w:t>
            </w:r>
            <w:r>
              <w:rPr>
                <w:rFonts w:hint="eastAsia" w:ascii="宋体" w:hAnsi="宋体" w:cs="宋体"/>
                <w:szCs w:val="21"/>
              </w:rPr>
              <w:t>过20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color w:val="000000"/>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tabs>
                <w:tab w:val="right" w:pos="9332"/>
              </w:tabs>
              <w:spacing w:line="440" w:lineRule="exact"/>
              <w:rPr>
                <w:b/>
                <w:color w:val="FF0000"/>
                <w:sz w:val="20"/>
                <w:szCs w:val="20"/>
              </w:rPr>
            </w:pPr>
            <w:r>
              <w:rPr>
                <w:rFonts w:hint="eastAsia" w:ascii="宋体" w:hAnsi="宋体"/>
                <w:szCs w:val="21"/>
              </w:rPr>
              <w:t>建立有《内部审核控制程序》，规定了内审频次一年一次，内审时间：202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日，拟定了审核实施表，明确了内审范围，内审人员经培训合格上岗，能力满足要求，未出现审核本部门情况，内审不符合项</w:t>
            </w:r>
            <w:r>
              <w:rPr>
                <w:rFonts w:hint="eastAsia" w:ascii="宋体" w:hAnsi="宋体"/>
                <w:szCs w:val="21"/>
                <w:lang w:val="en-US" w:eastAsia="zh-CN"/>
              </w:rPr>
              <w:t>2</w:t>
            </w:r>
            <w:r>
              <w:rPr>
                <w:rFonts w:hint="eastAsia" w:ascii="宋体" w:hAnsi="宋体"/>
                <w:szCs w:val="21"/>
              </w:rPr>
              <w:t>项，涉及</w:t>
            </w:r>
            <w:r>
              <w:rPr>
                <w:rFonts w:hint="eastAsia" w:ascii="宋体" w:hAnsi="宋体"/>
                <w:szCs w:val="21"/>
                <w:lang w:val="en-US" w:eastAsia="zh-CN"/>
              </w:rPr>
              <w:t>供销部E/S5.3条款“</w:t>
            </w:r>
            <w:r>
              <w:rPr>
                <w:rFonts w:hint="eastAsia" w:ascii="宋体" w:hAnsi="宋体"/>
                <w:szCs w:val="21"/>
              </w:rPr>
              <w:t>抽查主管人员,不熟悉环境职责</w:t>
            </w:r>
            <w:r>
              <w:rPr>
                <w:rFonts w:hint="eastAsia" w:ascii="宋体" w:hAnsi="宋体"/>
                <w:szCs w:val="21"/>
                <w:lang w:val="en-US" w:eastAsia="zh-CN"/>
              </w:rPr>
              <w:t>”行政</w:t>
            </w:r>
            <w:r>
              <w:rPr>
                <w:rFonts w:hint="eastAsia" w:ascii="宋体" w:hAnsi="宋体"/>
                <w:szCs w:val="21"/>
                <w:lang w:eastAsia="zh-CN"/>
              </w:rPr>
              <w:t>部</w:t>
            </w:r>
            <w:r>
              <w:rPr>
                <w:rFonts w:hint="eastAsia" w:ascii="宋体" w:hAnsi="宋体"/>
                <w:szCs w:val="21"/>
              </w:rPr>
              <w:t>E</w:t>
            </w:r>
            <w:r>
              <w:rPr>
                <w:rFonts w:hint="eastAsia" w:ascii="宋体" w:hAnsi="宋体"/>
                <w:szCs w:val="21"/>
                <w:lang w:val="en-US" w:eastAsia="zh-CN"/>
              </w:rPr>
              <w:t>/</w:t>
            </w:r>
            <w:r>
              <w:rPr>
                <w:rFonts w:hint="eastAsia" w:ascii="宋体" w:hAnsi="宋体"/>
                <w:szCs w:val="21"/>
              </w:rPr>
              <w:t>S</w:t>
            </w:r>
            <w:r>
              <w:rPr>
                <w:rFonts w:hint="eastAsia" w:ascii="宋体" w:hAnsi="宋体"/>
                <w:szCs w:val="21"/>
                <w:lang w:val="en-US" w:eastAsia="zh-CN"/>
              </w:rPr>
              <w:t>6.2</w:t>
            </w:r>
            <w:r>
              <w:rPr>
                <w:rFonts w:hint="eastAsia" w:ascii="宋体" w:hAnsi="宋体"/>
                <w:szCs w:val="21"/>
              </w:rPr>
              <w:t>条款</w:t>
            </w:r>
            <w:r>
              <w:rPr>
                <w:rFonts w:hint="eastAsia" w:ascii="宋体" w:hAnsi="宋体"/>
                <w:szCs w:val="21"/>
                <w:lang w:eastAsia="zh-CN"/>
              </w:rPr>
              <w:t>“</w:t>
            </w:r>
            <w:r>
              <w:rPr>
                <w:rFonts w:hint="eastAsia" w:ascii="宋体" w:hAnsi="宋体"/>
                <w:szCs w:val="21"/>
              </w:rPr>
              <w:t>不能提供本部门环境目标指标策划证据</w:t>
            </w:r>
            <w:r>
              <w:rPr>
                <w:rFonts w:hint="eastAsia" w:ascii="宋体" w:hAnsi="宋体"/>
                <w:szCs w:val="21"/>
                <w:lang w:eastAsia="zh-CN"/>
              </w:rPr>
              <w:t>”</w:t>
            </w:r>
            <w:r>
              <w:rPr>
                <w:rFonts w:hint="eastAsia" w:ascii="宋体" w:hAnsi="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w:t>
            </w:r>
            <w:r>
              <w:rPr>
                <w:rFonts w:hint="eastAsia" w:ascii="宋体" w:hAnsi="宋体" w:cs="宋体"/>
                <w:color w:val="auto"/>
                <w:szCs w:val="21"/>
              </w:rPr>
              <w:t>于</w:t>
            </w:r>
            <w:r>
              <w:rPr>
                <w:rFonts w:hint="eastAsia" w:ascii="宋体" w:hAnsi="宋体"/>
                <w:color w:val="auto"/>
                <w:szCs w:val="21"/>
              </w:rPr>
              <w:t>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5</w:t>
            </w:r>
            <w:r>
              <w:rPr>
                <w:rFonts w:hint="eastAsia" w:ascii="宋体" w:hAnsi="宋体"/>
                <w:color w:val="auto"/>
                <w:szCs w:val="21"/>
              </w:rPr>
              <w:t>月</w:t>
            </w:r>
            <w:r>
              <w:rPr>
                <w:rFonts w:hint="eastAsia" w:ascii="宋体" w:hAnsi="宋体"/>
                <w:color w:val="auto"/>
                <w:szCs w:val="21"/>
                <w:lang w:val="en-US" w:eastAsia="zh-CN"/>
              </w:rPr>
              <w:t>30</w:t>
            </w:r>
            <w:r>
              <w:rPr>
                <w:rFonts w:hint="eastAsia" w:ascii="宋体" w:hAnsi="宋体"/>
                <w:color w:val="auto"/>
                <w:szCs w:val="21"/>
              </w:rPr>
              <w:t>日</w:t>
            </w:r>
            <w:r>
              <w:rPr>
                <w:rFonts w:hint="eastAsia" w:ascii="宋体" w:hAnsi="宋体" w:cs="宋体"/>
                <w:color w:val="auto"/>
                <w:szCs w:val="21"/>
              </w:rPr>
              <w:t>由总经理主持</w:t>
            </w:r>
            <w:r>
              <w:rPr>
                <w:rFonts w:hint="eastAsia" w:ascii="宋体" w:hAnsi="宋体" w:cs="宋体"/>
                <w:szCs w:val="21"/>
              </w:rPr>
              <w:t>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sz w:val="20"/>
                <w:szCs w:val="20"/>
              </w:rPr>
            </w:pPr>
            <w:r>
              <w:rPr>
                <w:rFonts w:hint="eastAsia"/>
                <w:b/>
                <w:sz w:val="20"/>
                <w:szCs w:val="20"/>
              </w:rPr>
              <w:t>9. 其他能够标明组织绩效、信誉的证据/信息：</w:t>
            </w:r>
          </w:p>
          <w:p>
            <w:pPr>
              <w:widowControl/>
              <w:spacing w:line="240" w:lineRule="exact"/>
              <w:rPr>
                <w:b/>
                <w:color w:val="FF0000"/>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一阶段无问题整改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highlight w:val="none"/>
        </w:rPr>
      </w:pPr>
      <w:r>
        <w:rPr>
          <w:rFonts w:hint="eastAsia"/>
          <w:b/>
          <w:highlight w:val="none"/>
        </w:rPr>
        <w:t>1. 本次审核共开具不符合项报告1项；其中</w:t>
      </w:r>
      <w:r>
        <w:rPr>
          <w:b/>
          <w:highlight w:val="none"/>
        </w:rPr>
        <w:pict>
          <v:line id="直接连接符 1" o:spid="_x0000_s2052" o:spt="20" style="position:absolute;left:0pt;margin-left:210pt;margin-top:16.2pt;height:0pt;width:0pt;z-index:251663360;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highlight w:val="none"/>
        </w:rPr>
        <w:t>严重不符合0项，一般不符合 1项，观察项0项，分布在部门</w:t>
      </w:r>
      <w:r>
        <w:rPr>
          <w:rFonts w:hint="eastAsia"/>
          <w:b/>
          <w:highlight w:val="none"/>
          <w:lang w:eastAsia="zh-CN"/>
        </w:rPr>
        <w:t>行政部</w:t>
      </w:r>
      <w:r>
        <w:rPr>
          <w:rFonts w:hint="eastAsia"/>
          <w:b/>
          <w:highlight w:val="none"/>
        </w:rPr>
        <w:t>S</w:t>
      </w:r>
      <w:r>
        <w:rPr>
          <w:rFonts w:hint="eastAsia"/>
          <w:b/>
          <w:highlight w:val="none"/>
          <w:lang w:val="en-US" w:eastAsia="zh-CN"/>
        </w:rPr>
        <w:t>8.2</w:t>
      </w:r>
      <w:r>
        <w:rPr>
          <w:rFonts w:hint="eastAsia"/>
          <w:b/>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37" w:leftChars="-337" w:hanging="571" w:hangingChars="271"/>
        <w:rPr>
          <w:rFonts w:ascii="宋体" w:hAnsi="宋体"/>
          <w:b/>
          <w:color w:val="000000" w:themeColor="text1"/>
          <w:szCs w:val="21"/>
        </w:rPr>
      </w:pPr>
      <w:r>
        <w:rPr>
          <w:rFonts w:hint="eastAsia"/>
          <w:b/>
          <w:color w:val="000000" w:themeColor="text1"/>
        </w:rPr>
        <w:t>■</w:t>
      </w:r>
      <w:r>
        <w:rPr>
          <w:rFonts w:hint="eastAsia" w:ascii="宋体" w:hAnsi="宋体"/>
          <w:b/>
          <w:color w:val="000000" w:themeColor="text1"/>
          <w:szCs w:val="21"/>
        </w:rPr>
        <w:t>可能影响本次审核结论可靠性的因素：无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37" w:leftChars="-337" w:hanging="571" w:hangingChars="271"/>
        <w:rPr>
          <w:rFonts w:ascii="宋体" w:hAnsi="宋体"/>
          <w:b/>
          <w:color w:val="000000" w:themeColor="text1"/>
          <w:szCs w:val="21"/>
        </w:rPr>
      </w:pPr>
      <w:r>
        <w:rPr>
          <w:rFonts w:hint="eastAsia"/>
          <w:b/>
          <w:color w:val="000000" w:themeColor="text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GJB   ■</w:t>
            </w:r>
            <w:r>
              <w:rPr>
                <w:rFonts w:hint="eastAsia"/>
                <w:b/>
                <w:color w:val="000000" w:themeColor="text1"/>
                <w:sz w:val="22"/>
                <w:szCs w:val="22"/>
              </w:rPr>
              <w:t>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trPr>
        <w:tc>
          <w:tcPr>
            <w:tcW w:w="10080" w:type="dxa"/>
          </w:tcPr>
          <w:p>
            <w:pPr>
              <w:spacing w:line="320" w:lineRule="exact"/>
              <w:rPr>
                <w:rFonts w:ascii="宋体" w:hAnsi="宋体" w:eastAsia="宋体"/>
                <w:b/>
                <w:color w:val="000000" w:themeColor="text1"/>
              </w:rPr>
            </w:pPr>
            <w:r>
              <w:rPr>
                <w:rFonts w:hint="eastAsia" w:ascii="宋体" w:hAnsi="宋体" w:eastAsia="宋体"/>
                <w:b/>
                <w:color w:val="000000" w:themeColor="text1"/>
              </w:rPr>
              <w:t>2.对审核范围适宜性结论</w:t>
            </w:r>
          </w:p>
          <w:p>
            <w:pPr>
              <w:spacing w:line="320" w:lineRule="exact"/>
              <w:rPr>
                <w:rFonts w:ascii="宋体" w:hAnsi="宋体" w:eastAsia="宋体"/>
                <w:b/>
                <w:color w:val="000000" w:themeColor="text1"/>
              </w:rPr>
            </w:pPr>
            <w:r>
              <w:rPr>
                <w:rFonts w:hint="eastAsia" w:ascii="宋体" w:hAnsi="宋体" w:eastAsia="宋体"/>
                <w:b/>
                <w:color w:val="000000" w:themeColor="text1"/>
              </w:rPr>
              <w:t>■审核范围适宜，与申请范围一致</w:t>
            </w:r>
          </w:p>
          <w:p>
            <w:pPr>
              <w:spacing w:line="320" w:lineRule="exact"/>
              <w:rPr>
                <w:rFonts w:ascii="宋体" w:hAnsi="宋体" w:eastAsia="宋体"/>
                <w:b/>
                <w:color w:val="000000" w:themeColor="text1"/>
              </w:rPr>
            </w:pPr>
            <w:r>
              <w:rPr>
                <w:rFonts w:hint="eastAsia" w:ascii="宋体" w:hAnsi="宋体" w:eastAsia="宋体"/>
                <w:b/>
                <w:color w:val="000000" w:themeColor="text1"/>
              </w:rPr>
              <w:t>□审核范围变更，</w:t>
            </w:r>
          </w:p>
          <w:p>
            <w:pPr>
              <w:spacing w:line="320" w:lineRule="exact"/>
              <w:rPr>
                <w:rFonts w:ascii="宋体" w:hAnsi="宋体" w:eastAsia="宋体"/>
                <w:b/>
                <w:color w:val="000000" w:themeColor="text1"/>
              </w:rPr>
            </w:pPr>
            <w:r>
              <w:rPr>
                <w:rFonts w:ascii="宋体" w:hAnsi="宋体" w:eastAsia="宋体"/>
                <w:b/>
                <w:color w:val="000000" w:themeColor="text1"/>
              </w:rPr>
              <w:t>QMS:</w:t>
            </w:r>
          </w:p>
          <w:p>
            <w:pPr>
              <w:spacing w:line="320" w:lineRule="exact"/>
              <w:rPr>
                <w:rFonts w:ascii="宋体" w:hAnsi="宋体" w:eastAsia="宋体"/>
                <w:b/>
                <w:color w:val="000000" w:themeColor="text1"/>
              </w:rPr>
            </w:pPr>
            <w:r>
              <w:rPr>
                <w:rFonts w:hint="eastAsia" w:ascii="宋体" w:hAnsi="宋体" w:eastAsia="宋体"/>
                <w:b/>
                <w:color w:val="000000" w:themeColor="text1"/>
              </w:rPr>
              <w:t>EMS: 机械零部件、仪器仪表、包装纸制品的销售所涉及场所的相关环境管理活动。</w:t>
            </w:r>
          </w:p>
          <w:p>
            <w:pPr>
              <w:spacing w:line="320" w:lineRule="exact"/>
              <w:rPr>
                <w:rFonts w:hint="eastAsia" w:ascii="宋体" w:hAnsi="宋体" w:eastAsia="宋体"/>
                <w:b/>
                <w:color w:val="000000" w:themeColor="text1"/>
                <w:lang w:eastAsia="zh-CN"/>
              </w:rPr>
            </w:pPr>
            <w:r>
              <w:rPr>
                <w:rFonts w:hint="eastAsia" w:ascii="宋体" w:hAnsi="宋体" w:eastAsia="宋体"/>
                <w:b/>
                <w:color w:val="000000" w:themeColor="text1"/>
              </w:rPr>
              <w:t>OHSMS: 机械零部件、仪器仪表、包装纸制品的销售所涉及场所的相关职业健康安全管理活动</w:t>
            </w:r>
            <w:r>
              <w:rPr>
                <w:rFonts w:hint="eastAsia" w:ascii="宋体" w:hAnsi="宋体" w:eastAsia="宋体"/>
                <w:b/>
                <w:color w:val="000000" w:themeColor="text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1"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EMS   ■OHSMS)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一般不符合报告在30天/严重不符合在天针对不符合原因制定并实施纠正措施。验证方式见不符合项报告。</w:t>
      </w:r>
    </w:p>
    <w:p>
      <w:pPr>
        <w:spacing w:beforeLines="50" w:afterLines="50"/>
        <w:ind w:left="1" w:leftChars="-405" w:hanging="851" w:hangingChars="326"/>
        <w:rPr>
          <w:rFonts w:hint="eastAsia" w:eastAsia="宋体"/>
          <w:color w:val="000000" w:themeColor="text1"/>
          <w:sz w:val="28"/>
          <w:szCs w:val="28"/>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w:t>
      </w:r>
      <w:r>
        <w:rPr>
          <w:rFonts w:hint="eastAsia" w:ascii="Times New Roman" w:hAnsi="Times New Roman" w:eastAsia="宋体" w:cs="Times New Roman"/>
          <w:b/>
          <w:color w:val="000000" w:themeColor="text1"/>
          <w:sz w:val="26"/>
          <w:szCs w:val="26"/>
        </w:rPr>
        <w:t xml:space="preserve">任何影响审核方案的重要事项： </w:t>
      </w:r>
      <w:r>
        <w:rPr>
          <w:rFonts w:hint="eastAsia" w:ascii="Times New Roman" w:hAnsi="Times New Roman" w:eastAsia="宋体" w:cs="Times New Roman"/>
          <w:b/>
          <w:color w:val="000000" w:themeColor="text1"/>
          <w:sz w:val="26"/>
          <w:szCs w:val="26"/>
          <w:lang w:val="en-US" w:eastAsia="zh-CN"/>
        </w:rPr>
        <w:t>无</w:t>
      </w:r>
    </w:p>
    <w:p>
      <w:pPr>
        <w:snapToGrid w:val="0"/>
        <w:rPr>
          <w:b/>
          <w:bCs/>
          <w:color w:val="000000" w:themeColor="text1"/>
          <w:szCs w:val="28"/>
          <w:u w:val="single"/>
        </w:rPr>
      </w:pPr>
    </w:p>
    <w:p>
      <w:pPr>
        <w:snapToGrid w:val="0"/>
        <w:spacing w:afterLines="50" w:line="360" w:lineRule="auto"/>
        <w:ind w:left="-133" w:leftChars="-405" w:hanging="717" w:hangingChars="326"/>
        <w:rPr>
          <w:b/>
          <w:color w:val="000000" w:themeColor="text1"/>
          <w:sz w:val="16"/>
          <w:szCs w:val="16"/>
        </w:rPr>
      </w:pPr>
      <w:r>
        <w:rPr>
          <w:sz w:val="22"/>
          <w:szCs w:val="22"/>
        </w:rPr>
        <w:drawing>
          <wp:anchor distT="0" distB="0" distL="0" distR="0" simplePos="0" relativeHeight="251664384" behindDoc="0" locked="0" layoutInCell="1" allowOverlap="1">
            <wp:simplePos x="0" y="0"/>
            <wp:positionH relativeFrom="column">
              <wp:posOffset>1493520</wp:posOffset>
            </wp:positionH>
            <wp:positionV relativeFrom="paragraph">
              <wp:posOffset>280035</wp:posOffset>
            </wp:positionV>
            <wp:extent cx="746760" cy="464820"/>
            <wp:effectExtent l="0" t="0" r="0" b="7620"/>
            <wp:wrapNone/>
            <wp:docPr id="3"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新文档 2020-01-09 10"/>
                    <pic:cNvPicPr>
                      <a:picLocks noChangeAspect="1" noChangeArrowheads="1"/>
                    </pic:cNvPicPr>
                  </pic:nvPicPr>
                  <pic:blipFill>
                    <a:blip r:embed="rId6"/>
                    <a:srcRect/>
                    <a:stretch>
                      <a:fillRect/>
                    </a:stretch>
                  </pic:blipFill>
                  <pic:spPr>
                    <a:xfrm>
                      <a:off x="0" y="0"/>
                      <a:ext cx="746760" cy="464820"/>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Lines="50" w:line="360" w:lineRule="auto"/>
        <w:ind w:left="-10" w:leftChars="-32" w:hanging="57" w:hangingChars="26"/>
        <w:rPr>
          <w:b/>
          <w:color w:val="000000" w:themeColor="text1"/>
          <w:sz w:val="26"/>
          <w:szCs w:val="26"/>
        </w:rPr>
      </w:pPr>
      <w:r>
        <w:rPr>
          <w:rFonts w:hint="eastAsia" w:eastAsia="宋体"/>
          <w:sz w:val="22"/>
          <w:szCs w:val="22"/>
          <w:lang w:eastAsia="zh-CN"/>
        </w:rPr>
        <w:drawing>
          <wp:anchor distT="0" distB="0" distL="114300" distR="114300" simplePos="0" relativeHeight="251666432" behindDoc="0" locked="0" layoutInCell="1" allowOverlap="1">
            <wp:simplePos x="0" y="0"/>
            <wp:positionH relativeFrom="column">
              <wp:posOffset>1611630</wp:posOffset>
            </wp:positionH>
            <wp:positionV relativeFrom="paragraph">
              <wp:posOffset>401955</wp:posOffset>
            </wp:positionV>
            <wp:extent cx="645160" cy="321945"/>
            <wp:effectExtent l="0" t="0" r="10160" b="13335"/>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7"/>
                    <a:srcRect l="10377" t="24118" r="4335" b="17353"/>
                    <a:stretch>
                      <a:fillRect/>
                    </a:stretch>
                  </pic:blipFill>
                  <pic:spPr>
                    <a:xfrm>
                      <a:off x="0" y="0"/>
                      <a:ext cx="645160" cy="321945"/>
                    </a:xfrm>
                    <a:prstGeom prst="rect">
                      <a:avLst/>
                    </a:prstGeom>
                  </pic:spPr>
                </pic:pic>
              </a:graphicData>
            </a:graphic>
          </wp:anchor>
        </w:drawing>
      </w:r>
      <w:r>
        <w:rPr>
          <w:rFonts w:hint="eastAsia"/>
          <w:b/>
          <w:color w:val="000000" w:themeColor="text1"/>
          <w:sz w:val="26"/>
          <w:szCs w:val="26"/>
        </w:rPr>
        <w:t>审核组组长（签名）：</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921" w:firstLineChars="1860"/>
        <w:rPr>
          <w:b/>
          <w:color w:val="000000" w:themeColor="text1"/>
          <w:sz w:val="16"/>
          <w:szCs w:val="16"/>
        </w:rPr>
      </w:pPr>
      <w:r>
        <w:rPr>
          <w:rFonts w:hint="eastAsia"/>
          <w:b/>
          <w:color w:val="000000" w:themeColor="text1"/>
        </w:rPr>
        <w:t>日期：202</w:t>
      </w:r>
      <w:r>
        <w:rPr>
          <w:rFonts w:hint="eastAsia"/>
          <w:b/>
          <w:color w:val="000000" w:themeColor="text1"/>
          <w:lang w:val="en-US" w:eastAsia="zh-CN"/>
        </w:rPr>
        <w:t>1</w:t>
      </w:r>
      <w:r>
        <w:rPr>
          <w:rFonts w:hint="eastAsia"/>
          <w:b/>
          <w:color w:val="000000" w:themeColor="text1"/>
        </w:rPr>
        <w:t xml:space="preserve"> </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6</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22</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color w:val="000000" w:themeColor="text1"/>
          <w:sz w:val="26"/>
          <w:szCs w:val="26"/>
          <w:highlight w:val="none"/>
        </w:rPr>
      </w:pPr>
      <w:r>
        <w:rPr>
          <w:rFonts w:hint="eastAsia"/>
          <w:b/>
          <w:bCs/>
          <w:color w:val="000000" w:themeColor="text1"/>
          <w:szCs w:val="21"/>
          <w:highlight w:val="none"/>
        </w:rPr>
        <w:t>1.  审核中发现的</w:t>
      </w:r>
      <w:r>
        <w:rPr>
          <w:rFonts w:hint="eastAsia"/>
          <w:b/>
          <w:color w:val="000000" w:themeColor="text1"/>
          <w:spacing w:val="-10"/>
          <w:szCs w:val="21"/>
          <w:highlight w:val="none"/>
        </w:rPr>
        <w:t>□</w:t>
      </w:r>
      <w:r>
        <w:rPr>
          <w:rFonts w:hint="eastAsia"/>
          <w:b/>
          <w:color w:val="000000" w:themeColor="text1"/>
          <w:szCs w:val="21"/>
          <w:highlight w:val="none"/>
        </w:rPr>
        <w:t>QMS(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bCs/>
          <w:color w:val="000000" w:themeColor="text1"/>
          <w:szCs w:val="21"/>
          <w:highlight w:val="none"/>
          <w:lang w:eastAsia="zh-CN"/>
        </w:rPr>
        <w:t>□</w:t>
      </w:r>
      <w:r>
        <w:rPr>
          <w:rFonts w:hint="eastAsia"/>
          <w:b/>
          <w:color w:val="000000" w:themeColor="text1"/>
          <w:szCs w:val="21"/>
          <w:highlight w:val="none"/>
        </w:rPr>
        <w:t>EMS(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 xml:space="preserve">OHSMS(  1 )个一般不符合，( </w:t>
      </w:r>
      <w:r>
        <w:rPr>
          <w:rFonts w:hint="eastAsia"/>
          <w:b/>
          <w:color w:val="000000" w:themeColor="text1"/>
          <w:szCs w:val="21"/>
          <w:highlight w:val="none"/>
          <w:lang w:val="en-US" w:eastAsia="zh-CN"/>
        </w:rPr>
        <w:t>0</w:t>
      </w:r>
      <w:r>
        <w:rPr>
          <w:rFonts w:hint="eastAsia"/>
          <w:b/>
          <w:color w:val="000000" w:themeColor="text1"/>
          <w:szCs w:val="21"/>
          <w:highlight w:val="none"/>
        </w:rPr>
        <w:t xml:space="preserve">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u w:val="single"/>
        </w:rPr>
      </w:pPr>
      <w:r>
        <w:rPr>
          <w:rFonts w:hint="eastAsia"/>
          <w:b/>
          <w:color w:val="000000" w:themeColor="text1"/>
          <w:szCs w:val="21"/>
          <w:highlight w:val="none"/>
        </w:rPr>
        <w:t>存在问题说明及意见：</w:t>
      </w:r>
    </w:p>
    <w:p>
      <w:pPr>
        <w:spacing w:afterLines="50"/>
        <w:ind w:firstLine="422" w:firstLineChars="200"/>
        <w:rPr>
          <w:b/>
          <w:color w:val="000000" w:themeColor="text1"/>
          <w:szCs w:val="21"/>
          <w:highlight w:val="none"/>
        </w:rPr>
      </w:pPr>
      <w:bookmarkStart w:id="23" w:name="_GoBack"/>
      <w:bookmarkEnd w:id="23"/>
    </w:p>
    <w:p>
      <w:pPr>
        <w:spacing w:afterLines="50"/>
        <w:ind w:leftChars="-202" w:hanging="424" w:hangingChars="201"/>
        <w:rPr>
          <w:rFonts w:ascii="宋体" w:hAnsi="宋体"/>
          <w:b/>
          <w:color w:val="000000" w:themeColor="text1"/>
          <w:szCs w:val="21"/>
          <w:highlight w:val="none"/>
        </w:rPr>
      </w:pPr>
      <w:r>
        <w:rPr>
          <w:rFonts w:hint="eastAsia"/>
          <w:b/>
          <w:color w:val="000000" w:themeColor="text1"/>
          <w:szCs w:val="21"/>
          <w:highlight w:val="none"/>
        </w:rPr>
        <w:t>2. 验证结论</w:t>
      </w:r>
      <w:r>
        <w:rPr>
          <w:rFonts w:hint="eastAsia" w:ascii="宋体" w:hAnsi="宋体"/>
          <w:b/>
          <w:color w:val="000000" w:themeColor="text1"/>
          <w:szCs w:val="21"/>
          <w:highlight w:val="none"/>
        </w:rPr>
        <w:t>:</w:t>
      </w:r>
    </w:p>
    <w:p>
      <w:pPr>
        <w:ind w:firstLine="763" w:firstLineChars="400"/>
        <w:rPr>
          <w:b/>
          <w:color w:val="000000" w:themeColor="text1"/>
          <w:szCs w:val="21"/>
          <w:highlight w:val="none"/>
        </w:rPr>
      </w:pPr>
      <w:r>
        <w:rPr>
          <w:rFonts w:hint="eastAsia"/>
          <w:b/>
          <w:color w:val="000000" w:themeColor="text1"/>
          <w:spacing w:val="-10"/>
          <w:szCs w:val="21"/>
          <w:highlight w:val="none"/>
        </w:rPr>
        <w:t>■</w:t>
      </w:r>
      <w:r>
        <w:rPr>
          <w:rFonts w:hint="eastAsia"/>
          <w:b/>
          <w:color w:val="000000" w:themeColor="text1"/>
          <w:szCs w:val="21"/>
          <w:highlight w:val="none"/>
        </w:rPr>
        <w:t>推荐注册□不推荐注册</w:t>
      </w:r>
      <w:r>
        <w:rPr>
          <w:rFonts w:hint="eastAsia"/>
          <w:b/>
          <w:color w:val="000000" w:themeColor="text1"/>
          <w:spacing w:val="-10"/>
          <w:szCs w:val="21"/>
          <w:highlight w:val="none"/>
        </w:rPr>
        <w:t>□推荐重新认证</w:t>
      </w:r>
      <w:r>
        <w:rPr>
          <w:rFonts w:hint="eastAsia"/>
          <w:b/>
          <w:color w:val="000000" w:themeColor="text1"/>
          <w:szCs w:val="21"/>
          <w:highlight w:val="none"/>
        </w:rPr>
        <w:t>注册（再认证填写）</w:t>
      </w:r>
    </w:p>
    <w:p>
      <w:pPr>
        <w:snapToGrid w:val="0"/>
        <w:spacing w:line="360" w:lineRule="auto"/>
        <w:rPr>
          <w:b/>
          <w:color w:val="000000" w:themeColor="text1"/>
          <w:sz w:val="16"/>
          <w:szCs w:val="16"/>
        </w:rPr>
      </w:pPr>
      <w:r>
        <w:rPr>
          <w:b/>
          <w:color w:val="000000" w:themeColor="text1"/>
          <w:szCs w:val="21"/>
          <w:highlight w:val="none"/>
        </w:rPr>
        <w:drawing>
          <wp:anchor distT="0" distB="0" distL="0" distR="0" simplePos="0" relativeHeight="251665408" behindDoc="0" locked="0" layoutInCell="1" allowOverlap="1">
            <wp:simplePos x="0" y="0"/>
            <wp:positionH relativeFrom="column">
              <wp:posOffset>719455</wp:posOffset>
            </wp:positionH>
            <wp:positionV relativeFrom="paragraph">
              <wp:posOffset>3810</wp:posOffset>
            </wp:positionV>
            <wp:extent cx="774065" cy="481965"/>
            <wp:effectExtent l="0" t="0" r="3175" b="5715"/>
            <wp:wrapNone/>
            <wp:docPr id="5"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新文档 2020-01-09 10"/>
                    <pic:cNvPicPr>
                      <a:picLocks noChangeAspect="1" noChangeArrowheads="1"/>
                    </pic:cNvPicPr>
                  </pic:nvPicPr>
                  <pic:blipFill>
                    <a:blip r:embed="rId6"/>
                    <a:srcRect/>
                    <a:stretch>
                      <a:fillRect/>
                    </a:stretch>
                  </pic:blipFill>
                  <pic:spPr>
                    <a:xfrm>
                      <a:off x="0" y="0"/>
                      <a:ext cx="774065" cy="481965"/>
                    </a:xfrm>
                    <a:prstGeom prst="rect">
                      <a:avLst/>
                    </a:prstGeom>
                    <a:noFill/>
                    <a:ln w="9525">
                      <a:noFill/>
                      <a:miter lim="800000"/>
                      <a:headEnd/>
                      <a:tailEnd/>
                    </a:ln>
                  </pic:spPr>
                </pic:pic>
              </a:graphicData>
            </a:graphic>
          </wp:anchor>
        </w:drawing>
      </w:r>
      <w:r>
        <w:rPr>
          <w:rFonts w:hint="eastAsia"/>
          <w:b/>
          <w:color w:val="000000" w:themeColor="text1"/>
          <w:szCs w:val="21"/>
          <w:highlight w:val="none"/>
        </w:rPr>
        <w:t xml:space="preserve">组长签字:                 </w:t>
      </w:r>
      <w:r>
        <w:rPr>
          <w:rFonts w:hint="eastAsia"/>
          <w:b/>
          <w:color w:val="000000" w:themeColor="text1"/>
          <w:szCs w:val="21"/>
          <w:highlight w:val="none"/>
          <w:lang w:val="en-US" w:eastAsia="zh-CN"/>
        </w:rPr>
        <w:t xml:space="preserve">       </w:t>
      </w:r>
      <w:r>
        <w:rPr>
          <w:rFonts w:hint="eastAsia"/>
          <w:b/>
          <w:color w:val="000000" w:themeColor="text1"/>
          <w:highlight w:val="none"/>
        </w:rPr>
        <w:t>日期：202</w:t>
      </w:r>
      <w:r>
        <w:rPr>
          <w:rFonts w:hint="eastAsia"/>
          <w:b/>
          <w:color w:val="000000" w:themeColor="text1"/>
          <w:highlight w:val="none"/>
          <w:lang w:val="en-US" w:eastAsia="zh-CN"/>
        </w:rPr>
        <w:t>1</w:t>
      </w:r>
      <w:r>
        <w:rPr>
          <w:rFonts w:hint="eastAsia"/>
          <w:b/>
          <w:color w:val="000000" w:themeColor="text1"/>
          <w:highlight w:val="none"/>
        </w:rPr>
        <w:t xml:space="preserve"> </w:t>
      </w:r>
      <w:r>
        <w:rPr>
          <w:rFonts w:hint="eastAsia" w:asciiTheme="minorEastAsia" w:hAnsiTheme="minorEastAsia" w:eastAsiaTheme="minorEastAsia"/>
          <w:b/>
          <w:color w:val="000000" w:themeColor="text1"/>
          <w:highlight w:val="none"/>
        </w:rPr>
        <w:t>年</w:t>
      </w:r>
      <w:r>
        <w:rPr>
          <w:rFonts w:hint="eastAsia" w:asciiTheme="minorEastAsia" w:hAnsiTheme="minorEastAsia" w:eastAsiaTheme="minorEastAsia"/>
          <w:b/>
          <w:color w:val="000000" w:themeColor="text1"/>
          <w:highlight w:val="none"/>
          <w:lang w:val="en-US" w:eastAsia="zh-CN"/>
        </w:rPr>
        <w:t>6</w:t>
      </w:r>
      <w:r>
        <w:rPr>
          <w:rFonts w:hint="eastAsia" w:asciiTheme="minorEastAsia" w:hAnsiTheme="minorEastAsia" w:eastAsiaTheme="minorEastAsia"/>
          <w:b/>
          <w:color w:val="000000" w:themeColor="text1"/>
          <w:highlight w:val="none"/>
        </w:rPr>
        <w:t xml:space="preserve"> 月</w:t>
      </w:r>
      <w:r>
        <w:rPr>
          <w:rFonts w:hint="eastAsia" w:asciiTheme="minorEastAsia" w:hAnsiTheme="minorEastAsia" w:eastAsiaTheme="minorEastAsia"/>
          <w:b/>
          <w:color w:val="000000" w:themeColor="text1"/>
          <w:highlight w:val="none"/>
          <w:lang w:val="en-US" w:eastAsia="zh-CN"/>
        </w:rPr>
        <w:t>24</w:t>
      </w:r>
      <w:r>
        <w:rPr>
          <w:rFonts w:hint="eastAsia" w:asciiTheme="minorEastAsia" w:hAnsiTheme="minorEastAsia" w:eastAsiaTheme="minorEastAsia"/>
          <w:b/>
          <w:color w:val="000000" w:themeColor="text1"/>
          <w:highlight w:val="none"/>
        </w:rPr>
        <w:t>日</w:t>
      </w:r>
    </w:p>
    <w:p>
      <w:pPr>
        <w:spacing w:before="156" w:beforeLines="50" w:after="156" w:afterLines="50"/>
        <w:ind w:left="1" w:leftChars="-405" w:hanging="851" w:hangingChars="326"/>
        <w:rPr>
          <w:rFonts w:hint="eastAsia" w:ascii="Times New Roman" w:hAnsi="Times New Roman" w:eastAsia="宋体" w:cs="Times New Roman"/>
          <w:b/>
          <w:color w:val="000000" w:themeColor="text1"/>
          <w:sz w:val="26"/>
          <w:szCs w:val="26"/>
        </w:rPr>
      </w:pPr>
      <w:r>
        <w:rPr>
          <w:rFonts w:hint="eastAsia" w:ascii="Times New Roman" w:hAnsi="Times New Roman" w:eastAsia="宋体" w:cs="Times New Roman"/>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2" w:name="_Hlk8555230"/>
    <w:r>
      <w:pict>
        <v:shape id="_x0000_s3073" o:spid="_x0000_s3073"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2"/>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A994EED"/>
    <w:rsid w:val="35903396"/>
    <w:rsid w:val="49170E69"/>
    <w:rsid w:val="494D0E14"/>
    <w:rsid w:val="4DF210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2</TotalTime>
  <ScaleCrop>false</ScaleCrop>
  <LinksUpToDate>false</LinksUpToDate>
  <CharactersWithSpaces>5057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2021-06-21T05:47:55Z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DF5A64A69C5046E98F847758DE7A26EF</vt:lpwstr>
  </property>
</Properties>
</file>