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十里泉科技（重庆）有限公司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2019年11月07日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2019年11月07日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2019年11月07日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27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2019-11-05T07:34:00Z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