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8"/>
        <w:gridCol w:w="134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重庆迪晟机械工业有限公司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3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销售流程图:</w:t>
            </w:r>
          </w:p>
          <w:p>
            <w:pPr>
              <w:spacing w:line="24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签订合同→产品采购→产品交付→款项回收→售后维护。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潜在火灾和固废排放，采取管理方案和应急处理方案控制。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火灾、意外伤害，采取管理方案和应急处理方案控制。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线性尺寸的未注公差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>GB/T1804-f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/>
                <w:szCs w:val="21"/>
              </w:rPr>
              <w:t>形位的未注公差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</w:rPr>
              <w:t>GB/T1184-H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/>
                <w:szCs w:val="21"/>
              </w:rPr>
              <w:t>运输包装用单瓦楞纸箱和双瓦楞纸箱GB/T6543-2008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纸箱板-GB/T3024-2016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中华人民共和国产品质量法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中华人民共和国招投标法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中华人民共和国消防法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中华人民共和国大气污染防治法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中华人民共和国环境噪声污染防治法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中华人民共和国固体废物污染防治法</w:t>
            </w:r>
            <w:r>
              <w:rPr>
                <w:rFonts w:hint="eastAsia" w:ascii="宋体" w:hAnsi="宋体"/>
                <w:color w:val="000000" w:themeColor="text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</w:rPr>
              <w:t>大气污染物综合排放标准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等。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111125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4073525</wp:posOffset>
            </wp:positionH>
            <wp:positionV relativeFrom="paragraph">
              <wp:posOffset>104775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2021年6月20日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2021年6月20日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0E84C04"/>
    <w:rsid w:val="6E844D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2021-06-21T02:22:41Z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8D53C06FDD5D4621A86D8802DE635D9C</vt:lpwstr>
  </property>
</Properties>
</file>