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26"/>
        <w:gridCol w:w="492"/>
        <w:gridCol w:w="425"/>
        <w:gridCol w:w="425"/>
        <w:gridCol w:w="23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重庆迪晟机械工业有限公司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0633-2021-EO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18375750579</w:t>
            </w:r>
            <w:bookmarkEnd w:id="6"/>
          </w:p>
        </w:tc>
        <w:tc>
          <w:tcPr>
            <w:tcW w:w="91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9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17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E：机械零部件、仪器仪表、包装纸制品的销售所涉及场所的相关环境管理活动</w:t>
            </w:r>
          </w:p>
          <w:p>
            <w:r>
              <w:t>O：机械零部件、仪器仪表、包装纸制品的销售所涉及场所的相关职业健康安全管理活动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2021年06月20日 上午至2021年06月20日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7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19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94" w:type="dxa"/>
            <w:gridSpan w:val="4"/>
            <w:vAlign w:val="center"/>
          </w:tcPr>
          <w:p/>
        </w:tc>
        <w:tc>
          <w:tcPr>
            <w:tcW w:w="1574" w:type="dxa"/>
            <w:gridSpan w:val="4"/>
            <w:vAlign w:val="center"/>
          </w:tcPr>
          <w:p/>
        </w:tc>
        <w:tc>
          <w:tcPr>
            <w:tcW w:w="142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2021.6.18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2</w:t>
            </w:r>
            <w:bookmarkStart w:id="14" w:name="_GoBack"/>
            <w:bookmarkEnd w:id="14"/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杨珍全、</w:t>
            </w: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1、通过对受审核方的管理、生产现场巡视和观察，从总体上初步判断受审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8、了解为第二阶段审核所需资源的配置情况；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9、确定管理层二阶段审核的重点。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10、确认体系策划部门是否按要求建立、实施、保持并持续改进了体系。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、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12、适用法律法规、技术标准识别的充分性，收集合规性的证据。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13、核实、确认受审核方各相关部门提供的相关信息（重点是资质、资格、产品范围、人数、规模、场所等）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14.对生产设备、环保设备、特种设备及监视测量设备的现场巡视了解和确认。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15.了解环境因素和危险源的识别、评价等控制情况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16.了解对合规性及应急预案等情况的执行。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杨珍全、</w:t>
            </w: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0B4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2021-06-18T08:27:39Z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A63E90D8CC87472B97F0709084B34604</vt:lpwstr>
  </property>
</Properties>
</file>