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北京盛鑫嘉华环保科技有限公司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Q:29.12.00,35.17.00</w:t>
            </w:r>
          </w:p>
          <w:p>
            <w:pPr>
              <w:jc w:val="center"/>
              <w:rPr>
                <w:b/>
                <w:sz w:val="21"/>
                <w:szCs w:val="21"/>
              </w:rPr>
            </w:pPr>
            <w:r>
              <w:rPr>
                <w:b/>
                <w:sz w:val="21"/>
                <w:szCs w:val="21"/>
              </w:rPr>
              <w:t>E:29.12.00,35.17.00</w:t>
            </w:r>
          </w:p>
          <w:p>
            <w:pPr>
              <w:jc w:val="center"/>
              <w:rPr>
                <w:b/>
                <w:sz w:val="21"/>
                <w:szCs w:val="21"/>
              </w:rPr>
            </w:pPr>
            <w:r>
              <w:rPr>
                <w:b/>
                <w:sz w:val="21"/>
                <w:szCs w:val="21"/>
              </w:rPr>
              <w:t>O:29.12.00,35.17.00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O:29.12.00,35.17.00</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姜小清</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2020-N1QMS-3201919</w:t>
            </w:r>
          </w:p>
          <w:p>
            <w:pPr>
              <w:jc w:val="center"/>
              <w:rPr>
                <w:b/>
                <w:sz w:val="21"/>
                <w:szCs w:val="21"/>
              </w:rPr>
            </w:pPr>
            <w:r>
              <w:rPr>
                <w:b/>
                <w:sz w:val="21"/>
                <w:szCs w:val="21"/>
              </w:rPr>
              <w:t>2021-N1EMS-3201919</w:t>
            </w:r>
          </w:p>
          <w:p>
            <w:pPr>
              <w:jc w:val="center"/>
              <w:rPr>
                <w:b/>
                <w:sz w:val="21"/>
                <w:szCs w:val="21"/>
              </w:rPr>
            </w:pPr>
            <w:r>
              <w:rPr>
                <w:b/>
                <w:sz w:val="21"/>
                <w:szCs w:val="21"/>
              </w:rPr>
              <w:t>2019-N1OHSMS-2201919</w:t>
            </w:r>
          </w:p>
        </w:tc>
        <w:tc>
          <w:tcPr>
            <w:tcW w:w="1728" w:type="dxa"/>
            <w:gridSpan w:val="2"/>
            <w:vAlign w:val="center"/>
          </w:tcPr>
          <w:p>
            <w:pPr>
              <w:jc w:val="center"/>
              <w:rPr>
                <w:b/>
                <w:sz w:val="21"/>
                <w:szCs w:val="21"/>
              </w:rPr>
            </w:pPr>
            <w:r>
              <w:rPr>
                <w:b/>
                <w:sz w:val="21"/>
                <w:szCs w:val="21"/>
              </w:rPr>
              <w:t>Q:29.12.00,35.17.00</w:t>
            </w:r>
          </w:p>
          <w:p>
            <w:pPr>
              <w:jc w:val="center"/>
              <w:rPr>
                <w:b/>
                <w:sz w:val="21"/>
                <w:szCs w:val="21"/>
              </w:rPr>
            </w:pPr>
            <w:r>
              <w:rPr>
                <w:b/>
                <w:sz w:val="21"/>
                <w:szCs w:val="21"/>
              </w:rPr>
              <w:t>E:29.12.00</w:t>
            </w:r>
          </w:p>
          <w:p>
            <w:pPr>
              <w:jc w:val="center"/>
              <w:rPr>
                <w:b/>
                <w:sz w:val="21"/>
                <w:szCs w:val="21"/>
              </w:rPr>
            </w:pPr>
            <w:r>
              <w:rPr>
                <w:b/>
                <w:sz w:val="21"/>
                <w:szCs w:val="21"/>
              </w:rPr>
              <w:t>O:29.12.00,35.17.00</w:t>
            </w:r>
          </w:p>
        </w:tc>
        <w:tc>
          <w:tcPr>
            <w:tcW w:w="1729" w:type="dxa"/>
            <w:gridSpan w:val="2"/>
            <w:vAlign w:val="center"/>
          </w:tcPr>
          <w:p>
            <w:pPr>
              <w:jc w:val="center"/>
              <w:rPr>
                <w:b/>
                <w:sz w:val="21"/>
                <w:szCs w:val="21"/>
              </w:rPr>
            </w:pPr>
            <w:r>
              <w:rPr>
                <w:b/>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北京盛鑫嘉华环保科技有限公司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北京市丰台区丰台科学城航丰路8号三幢五层B5118房（园区）</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100070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北京市丰台区丰台科学城航丰路8号三幢五层B5118房（园区）</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100070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北京市丰台区丰台科学城航丰路8号三幢五层B5118房（园区）</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100070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周枫</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13901082817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周枫</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李蔚彧</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2021年06月29日 上午至2021年06月29日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Q：城市园林绿化；环保草毯的销售</w:t>
            </w:r>
          </w:p>
          <w:p>
            <w:pPr>
              <w:spacing w:line="0" w:lineRule="atLeast"/>
              <w:jc w:val="left"/>
              <w:rPr>
                <w:rFonts w:hint="eastAsia" w:ascii="宋体" w:hAnsi="宋体"/>
              </w:rPr>
            </w:pPr>
            <w:r>
              <w:rPr>
                <w:rFonts w:hint="eastAsia" w:ascii="宋体" w:hAnsi="宋体"/>
              </w:rPr>
              <w:t>E：城市园林绿化；环保草毯的销售所涉及的相关环境管理活动</w:t>
            </w:r>
          </w:p>
          <w:p>
            <w:pPr>
              <w:spacing w:line="360" w:lineRule="exact"/>
              <w:rPr>
                <w:rFonts w:ascii="宋体" w:hAnsi="宋体"/>
                <w:b/>
                <w:sz w:val="21"/>
                <w:szCs w:val="21"/>
              </w:rPr>
            </w:pPr>
            <w:r>
              <w:rPr>
                <w:rFonts w:hint="eastAsia" w:ascii="宋体" w:hAnsi="宋体"/>
              </w:rPr>
              <w:t>O：城市园林绿化；环保草毯的销售所涉及的相关职业健康安全管理活动</w:t>
            </w:r>
            <w:bookmarkEnd w:id="23"/>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Q：29.12.00;35.17.00</w:t>
            </w:r>
          </w:p>
          <w:p>
            <w:pPr>
              <w:spacing w:line="260" w:lineRule="exact"/>
              <w:rPr>
                <w:rFonts w:ascii="宋体" w:hAnsi="宋体"/>
                <w:b/>
                <w:sz w:val="21"/>
                <w:szCs w:val="21"/>
              </w:rPr>
            </w:pPr>
            <w:r>
              <w:rPr>
                <w:rFonts w:ascii="宋体" w:hAnsi="宋体"/>
                <w:b/>
                <w:sz w:val="21"/>
                <w:szCs w:val="21"/>
              </w:rPr>
              <w:t>E：29.12.00;35.17.00</w:t>
            </w:r>
          </w:p>
          <w:p>
            <w:pPr>
              <w:spacing w:line="260" w:lineRule="exact"/>
              <w:rPr>
                <w:rFonts w:ascii="宋体" w:hAnsi="宋体"/>
                <w:b/>
                <w:sz w:val="21"/>
                <w:szCs w:val="21"/>
              </w:rPr>
            </w:pPr>
            <w:r>
              <w:rPr>
                <w:rFonts w:ascii="宋体" w:hAnsi="宋体"/>
                <w:b/>
                <w:sz w:val="21"/>
                <w:szCs w:val="21"/>
              </w:rPr>
              <w:t>O：29.12.00;35.17.00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2023-6-27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Helvetica" w:hAnsi="Helvetica" w:eastAsia="Helvetica" w:cs="Helvetica"/>
                <w:i w:val="0"/>
                <w:iCs w:val="0"/>
                <w:caps w:val="0"/>
                <w:color w:val="333333"/>
                <w:spacing w:val="0"/>
                <w:sz w:val="14"/>
                <w:szCs w:val="14"/>
                <w:shd w:val="clear" w:fill="EBF6FB"/>
              </w:rPr>
            </w:pPr>
          </w:p>
          <w:p>
            <w:pPr>
              <w:spacing w:line="260" w:lineRule="exact"/>
              <w:rPr>
                <w:rFonts w:ascii="Helvetica" w:hAnsi="Helvetica" w:eastAsia="Helvetica" w:cs="Helvetica"/>
                <w:i w:val="0"/>
                <w:iCs w:val="0"/>
                <w:caps w:val="0"/>
                <w:color w:val="333333"/>
                <w:spacing w:val="0"/>
                <w:sz w:val="14"/>
                <w:szCs w:val="14"/>
                <w:shd w:val="clear" w:fill="EBF6FB"/>
              </w:rPr>
            </w:pPr>
          </w:p>
          <w:p>
            <w:pPr>
              <w:spacing w:line="260" w:lineRule="exact"/>
              <w:rPr>
                <w:rFonts w:hint="eastAsia" w:ascii="宋体" w:hAnsi="宋体" w:eastAsia="宋体" w:cs="Times New Roman"/>
                <w:b/>
                <w:sz w:val="21"/>
                <w:szCs w:val="21"/>
                <w:lang w:val="en-US" w:eastAsia="zh-CN"/>
              </w:rPr>
            </w:pPr>
          </w:p>
          <w:p>
            <w:pPr>
              <w:spacing w:line="260" w:lineRule="exact"/>
              <w:rPr>
                <w:rFonts w:ascii="宋体"/>
                <w:b/>
                <w:sz w:val="21"/>
              </w:rPr>
            </w:pPr>
            <w:r>
              <w:rPr>
                <w:rFonts w:hint="eastAsia" w:ascii="宋体" w:hAnsi="宋体" w:eastAsia="宋体" w:cs="Times New Roman"/>
                <w:b/>
                <w:sz w:val="21"/>
                <w:szCs w:val="21"/>
                <w:lang w:val="en-US" w:eastAsia="zh-CN"/>
              </w:rPr>
              <w:t>2020-06-20 -- 2020-06-24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宋体" w:hAnsi="宋体"/>
                <w:szCs w:val="21"/>
              </w:rPr>
            </w:pPr>
            <w:r>
              <w:rPr>
                <w:rFonts w:hint="eastAsia"/>
                <w:szCs w:val="22"/>
              </w:rPr>
              <w:t>营业执照：</w:t>
            </w:r>
            <w:r>
              <w:rPr>
                <w:color w:val="000000"/>
                <w:szCs w:val="21"/>
              </w:rPr>
              <w:t>北京盛鑫嘉华环保科技有限公司</w:t>
            </w:r>
            <w:r>
              <w:rPr>
                <w:rFonts w:hint="eastAsia"/>
                <w:szCs w:val="22"/>
                <w:lang w:val="en-US" w:eastAsia="zh-CN"/>
              </w:rPr>
              <w:t xml:space="preserve">， </w:t>
            </w:r>
            <w:r>
              <w:rPr>
                <w:rFonts w:hint="eastAsia" w:ascii="宋体" w:hAnsi="宋体"/>
                <w:szCs w:val="21"/>
                <w:lang w:val="en-US" w:eastAsia="zh-CN"/>
              </w:rPr>
              <w:t xml:space="preserve"> 注册地址：</w:t>
            </w:r>
            <w:r>
              <w:rPr>
                <w:rFonts w:hint="eastAsia" w:ascii="宋体" w:hAnsi="宋体"/>
                <w:szCs w:val="21"/>
              </w:rPr>
              <w:t>北京市丰台区丰台科学城航丰路8号三幢楼五层B5118房(园区)</w:t>
            </w:r>
            <w:r>
              <w:rPr>
                <w:rFonts w:hint="eastAsia" w:ascii="宋体" w:hAnsi="宋体"/>
                <w:szCs w:val="21"/>
                <w:lang w:val="en-US" w:eastAsia="zh-CN"/>
              </w:rPr>
              <w:t>，统一社会信用代码：</w:t>
            </w:r>
            <w:r>
              <w:rPr>
                <w:rFonts w:hint="eastAsia" w:ascii="宋体" w:hAnsi="宋体"/>
                <w:szCs w:val="21"/>
              </w:rPr>
              <w:t>9111010669325140X7</w:t>
            </w:r>
            <w:r>
              <w:rPr>
                <w:rFonts w:hint="eastAsia" w:ascii="宋体" w:hAnsi="宋体"/>
                <w:szCs w:val="21"/>
                <w:lang w:val="en-US" w:eastAsia="zh-CN"/>
              </w:rPr>
              <w:t>；  经营期限：</w:t>
            </w:r>
            <w:r>
              <w:rPr>
                <w:rFonts w:hint="eastAsia" w:ascii="宋体" w:hAnsi="宋体"/>
                <w:szCs w:val="21"/>
              </w:rPr>
              <w:t>2009-08-19 至 2029-08-18</w:t>
            </w:r>
            <w:r>
              <w:rPr>
                <w:rFonts w:hint="eastAsia" w:ascii="宋体" w:hAnsi="宋体"/>
                <w:szCs w:val="21"/>
                <w:lang w:val="en-US" w:eastAsia="zh-CN"/>
              </w:rPr>
              <w:t>。</w:t>
            </w:r>
          </w:p>
          <w:p>
            <w:pPr>
              <w:rPr>
                <w:rFonts w:hint="eastAsia" w:ascii="宋体" w:hAnsi="宋体"/>
                <w:szCs w:val="21"/>
              </w:rPr>
            </w:pPr>
            <w:r>
              <w:rPr>
                <w:rFonts w:hint="eastAsia" w:ascii="宋体" w:hAnsi="宋体"/>
                <w:szCs w:val="21"/>
              </w:rPr>
              <w:t>经营范围：加工环保草毯（限分支机构经营）；技术开发、技术咨询、技术服务、技术转让；城市园林绿化；专业承包；货物进出口业务；销售环保草毯。（企业依法自主选择经营项目，开展经营活动；依法须经批准的项目，经相关部门批准后依批准的内容开展经营活动；不得从事本市产业政策禁止和限制类项目的经营活动。）公司的主要客户群为全国各地的企业、机关、学校；公司采用总经理负责制，层层把关，让用户真正放心。</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遵守法律法规，以人为本， 持续改进，确保体系有效； </w:t>
            </w:r>
          </w:p>
          <w:p>
            <w:pPr>
              <w:rPr>
                <w:rFonts w:hint="eastAsia"/>
              </w:rPr>
            </w:pPr>
            <w:r>
              <w:rPr>
                <w:rFonts w:hint="eastAsia"/>
              </w:rPr>
              <w:t>以顾客为中心，保护环境， 预防事故，创建满意工程。</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20-2021</w:t>
            </w:r>
            <w:r>
              <w:rPr>
                <w:rFonts w:hint="eastAsia"/>
              </w:rPr>
              <w:t>年度 SWOT经营环境分析及对策报告”，对影响公司经营和发展的各种因素（内外部环境、相关方要求等）进行分析，确定需要应对的风险和机遇</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ascii="宋体"/>
                <w:b/>
                <w:color w:val="000000"/>
                <w:sz w:val="20"/>
                <w:szCs w:val="20"/>
              </w:rPr>
            </w:pPr>
            <w:r>
              <w:rPr>
                <w:rFonts w:hint="eastAsia"/>
                <w:b/>
                <w:color w:val="000000"/>
                <w:sz w:val="24"/>
              </w:rPr>
              <w:t>园林绿化服务：客户洽谈→合同签订→材料采购→进场报验→项目施工→过程检验→竣工验收→后期服务。</w:t>
            </w:r>
          </w:p>
          <w:p>
            <w:pPr>
              <w:pStyle w:val="2"/>
              <w:rPr>
                <w:szCs w:val="22"/>
              </w:rPr>
            </w:pPr>
            <w:r>
              <w:rPr>
                <w:rFonts w:hint="eastAsia" w:ascii="Times New Roman" w:hAnsi="Times New Roman" w:eastAsia="宋体" w:cs="Times New Roman"/>
                <w:b/>
                <w:bCs/>
                <w:color w:val="auto"/>
                <w:sz w:val="24"/>
                <w:lang w:val="en-US" w:eastAsia="zh-CN"/>
              </w:rPr>
              <w:t>销售：</w:t>
            </w:r>
            <w:r>
              <w:rPr>
                <w:rFonts w:hint="eastAsia" w:ascii="Times New Roman" w:hAnsi="Times New Roman" w:eastAsia="宋体" w:cs="Times New Roman"/>
                <w:b/>
                <w:bCs/>
                <w:color w:val="auto"/>
                <w:sz w:val="24"/>
              </w:rPr>
              <w:t>客</w:t>
            </w:r>
            <w:r>
              <w:rPr>
                <w:rFonts w:hint="eastAsia"/>
                <w:b/>
                <w:bCs/>
                <w:color w:val="auto"/>
                <w:sz w:val="24"/>
              </w:rPr>
              <w:t>户沟通----合同评审----签订合同-----采购-----客户提货-----验收交付</w:t>
            </w:r>
            <w:r>
              <w:rPr>
                <w:rFonts w:hint="eastAsia"/>
                <w:szCs w:val="22"/>
              </w:rPr>
              <w:t>其中</w:t>
            </w:r>
          </w:p>
          <w:p>
            <w:pPr>
              <w:pStyle w:val="2"/>
              <w:rPr>
                <w:rFonts w:hint="eastAsia" w:eastAsia="宋体"/>
                <w:szCs w:val="22"/>
                <w:lang w:val="en-US" w:eastAsia="zh-CN"/>
              </w:rPr>
            </w:pPr>
            <w:r>
              <w:rPr>
                <w:rFonts w:hint="eastAsia" w:ascii="宋体" w:hAnsi="宋体"/>
                <w:bCs w:val="0"/>
                <w:spacing w:val="0"/>
                <w:sz w:val="24"/>
              </w:rPr>
              <w:t>其中特殊过程为：</w:t>
            </w:r>
            <w:r>
              <w:rPr>
                <w:rFonts w:hint="eastAsia" w:ascii="宋体" w:hAnsi="宋体"/>
                <w:bCs/>
                <w:sz w:val="24"/>
                <w:lang w:val="en-US" w:eastAsia="zh-CN"/>
              </w:rPr>
              <w:t>销售</w:t>
            </w:r>
            <w:r>
              <w:rPr>
                <w:rFonts w:hint="eastAsia" w:ascii="宋体" w:hAnsi="宋体"/>
                <w:sz w:val="24"/>
              </w:rPr>
              <w:t>过程</w:t>
            </w:r>
            <w:r>
              <w:rPr>
                <w:rFonts w:hint="eastAsia" w:ascii="宋体" w:hAnsi="宋体"/>
                <w:sz w:val="24"/>
                <w:lang w:eastAsia="zh-CN"/>
              </w:rPr>
              <w:t>、</w:t>
            </w:r>
            <w:r>
              <w:rPr>
                <w:rFonts w:hint="eastAsia" w:ascii="宋体" w:hAnsi="宋体"/>
                <w:bCs/>
                <w:sz w:val="24"/>
              </w:rPr>
              <w:t>园林绿化</w:t>
            </w:r>
            <w:r>
              <w:rPr>
                <w:rFonts w:hint="eastAsia" w:ascii="宋体" w:hAnsi="宋体"/>
                <w:bCs/>
                <w:sz w:val="24"/>
                <w:lang w:val="en-US" w:eastAsia="zh-CN"/>
              </w:rPr>
              <w:t>过程</w:t>
            </w:r>
          </w:p>
          <w:p>
            <w:pPr>
              <w:pStyle w:val="2"/>
              <w:rPr>
                <w:szCs w:val="22"/>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Cs/>
                <w:sz w:val="24"/>
              </w:rPr>
              <w:t>园林绿化服务</w:t>
            </w:r>
            <w:r>
              <w:rPr>
                <w:rFonts w:hint="eastAsia" w:ascii="宋体" w:hAnsi="宋体"/>
                <w:sz w:val="24"/>
              </w:rPr>
              <w:t>过程</w:t>
            </w:r>
            <w:r>
              <w:rPr>
                <w:rFonts w:hint="eastAsia" w:ascii="宋体" w:hAnsi="宋体"/>
                <w:b/>
                <w:color w:val="000000" w:themeColor="text1"/>
                <w:sz w:val="20"/>
                <w:szCs w:val="20"/>
                <w:u w:val="single"/>
              </w:rPr>
              <w:t xml:space="preserve">  </w:t>
            </w:r>
          </w:p>
          <w:p>
            <w:pPr>
              <w:pStyle w:val="2"/>
              <w:rPr>
                <w:szCs w:val="22"/>
              </w:rPr>
            </w:pPr>
            <w:r>
              <w:rPr>
                <w:rFonts w:hint="eastAsia" w:ascii="宋体" w:hAnsi="宋体"/>
                <w:b/>
                <w:color w:val="000000" w:themeColor="text1"/>
                <w:sz w:val="20"/>
                <w:szCs w:val="20"/>
              </w:rPr>
              <w:t xml:space="preserve">需要确认过程  </w:t>
            </w:r>
            <w:r>
              <w:rPr>
                <w:rFonts w:hint="eastAsia" w:ascii="宋体" w:hAnsi="宋体"/>
                <w:bCs/>
                <w:sz w:val="24"/>
                <w:lang w:val="en-US" w:eastAsia="zh-CN"/>
              </w:rPr>
              <w:t>销售</w:t>
            </w:r>
            <w:r>
              <w:rPr>
                <w:rFonts w:hint="eastAsia" w:ascii="宋体" w:hAnsi="宋体"/>
                <w:sz w:val="24"/>
              </w:rPr>
              <w:t>过程</w:t>
            </w:r>
          </w:p>
          <w:p>
            <w:pPr>
              <w:rPr>
                <w:rFonts w:hint="eastAsia" w:ascii="宋体" w:hAnsi="宋体"/>
                <w:b/>
                <w:color w:val="000000"/>
                <w:sz w:val="20"/>
                <w:szCs w:val="20"/>
                <w:lang w:val="en-US" w:eastAsia="zh-CN"/>
              </w:rPr>
            </w:pPr>
            <w:r>
              <w:rPr>
                <w:rFonts w:hint="eastAsia" w:ascii="宋体" w:hAnsi="宋体"/>
                <w:b/>
                <w:color w:val="000000" w:themeColor="text1"/>
                <w:sz w:val="20"/>
                <w:szCs w:val="20"/>
              </w:rPr>
              <w:t>不适用条款是   8.3     ，不适用理由：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城市园林绿化；环保草毯的销售服务</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rPr>
                <w:color w:val="000000"/>
                <w:szCs w:val="21"/>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rFonts w:hint="eastAsia"/>
                <w:szCs w:val="21"/>
                <w:lang w:val="en-US" w:eastAsia="zh-CN"/>
              </w:rPr>
              <w:t>3</w:t>
            </w:r>
            <w:r>
              <w:rPr>
                <w:rFonts w:hint="eastAsia"/>
                <w:szCs w:val="21"/>
              </w:rPr>
              <w:t>项：</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r>
              <w:rPr>
                <w:rFonts w:hint="eastAsia"/>
                <w:color w:val="auto"/>
                <w:szCs w:val="21"/>
              </w:rPr>
              <w:t>，评</w:t>
            </w:r>
            <w:r>
              <w:rPr>
                <w:rFonts w:hint="eastAsia"/>
                <w:szCs w:val="21"/>
              </w:rPr>
              <w:t>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4</w:t>
            </w:r>
            <w:r>
              <w:rPr>
                <w:rFonts w:hint="eastAsia"/>
                <w:szCs w:val="21"/>
              </w:rPr>
              <w:t>项，涉及：</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r>
              <w:rPr>
                <w:rFonts w:hint="eastAsia"/>
                <w:color w:val="auto"/>
                <w:szCs w:val="21"/>
              </w:rPr>
              <w:t>，评价符合程序要求及公司的实际情况</w:t>
            </w:r>
            <w:r>
              <w:rPr>
                <w:rFonts w:hint="eastAsia"/>
                <w:szCs w:val="21"/>
              </w:rPr>
              <w:t>。对危险源的控制措施包括制定管理制度、监督检查、应急预案、培训等。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sz w:val="21"/>
                <w:szCs w:val="21"/>
              </w:rPr>
            </w:pPr>
            <w:r>
              <w:rPr>
                <w:rFonts w:hint="eastAsia"/>
                <w:bCs/>
                <w:szCs w:val="21"/>
              </w:rPr>
              <w:t>该公司员工共25人，管理人2人。有专业的园林绿化服务人员，能满足园林绿化服务的要求。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r>
              <w:rPr>
                <w:rFonts w:hint="eastAsia"/>
                <w:szCs w:val="21"/>
              </w:rPr>
              <w:t>生产设备有：</w:t>
            </w:r>
            <w:r>
              <w:rPr>
                <w:rFonts w:hint="eastAsia"/>
                <w:szCs w:val="22"/>
              </w:rPr>
              <w:t>铁锹、铁镐、手据、园艺剪、割草机、粗枝剪、打草</w:t>
            </w:r>
            <w:r>
              <w:rPr>
                <w:rFonts w:hint="eastAsia"/>
                <w:color w:val="auto"/>
                <w:szCs w:val="22"/>
              </w:rPr>
              <w:t>机</w:t>
            </w:r>
            <w:r>
              <w:rPr>
                <w:rFonts w:hint="eastAsia" w:ascii="宋体" w:hAnsi="宋体"/>
                <w:color w:val="auto"/>
                <w:spacing w:val="-10"/>
                <w:sz w:val="20"/>
                <w:szCs w:val="20"/>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25"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25"/>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现场观察生产区和办公区域环境卫生管理，工作场所布局合理，温湿度适宜，照明良好，满足办公需求。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eastAsia="宋体" w:cs="Lucida Sans"/>
                <w:b/>
                <w:szCs w:val="20"/>
                <w:lang w:val="en-US" w:eastAsia="zh-CN"/>
              </w:rPr>
            </w:pPr>
            <w:r>
              <w:rPr>
                <w:rFonts w:hint="eastAsia" w:cs="Lucida Sans"/>
                <w:b/>
                <w:szCs w:val="20"/>
              </w:rPr>
              <w:t>监视和测量设备有：水平仪  钢卷尺</w:t>
            </w:r>
          </w:p>
          <w:p>
            <w:pPr>
              <w:spacing w:line="240" w:lineRule="exact"/>
              <w:rPr>
                <w:rFonts w:ascii="宋体" w:hAnsi="宋体"/>
                <w:b/>
                <w:sz w:val="21"/>
                <w:szCs w:val="21"/>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3.  QMS 组织对重要过程实施控制的结果</w:t>
            </w:r>
          </w:p>
          <w:p>
            <w:pPr>
              <w:spacing w:line="240" w:lineRule="exact"/>
              <w:ind w:left="221" w:leftChars="42" w:hanging="120" w:hangingChars="50"/>
            </w:pPr>
            <w:r>
              <w:rPr>
                <w:rFonts w:hint="eastAsia"/>
              </w:rPr>
              <w:t>(包括对QMS关键工序(过程)、特殊过程控制;评价组织对过程实施控制情况/)</w:t>
            </w:r>
          </w:p>
          <w:p>
            <w:pPr>
              <w:spacing w:line="240" w:lineRule="exact"/>
              <w:jc w:val="left"/>
            </w:pPr>
          </w:p>
          <w:p>
            <w:pPr>
              <w:pStyle w:val="2"/>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ascii="宋体" w:hAnsi="宋体"/>
                <w:szCs w:val="21"/>
              </w:rPr>
              <w:t>城市园林绿化</w:t>
            </w:r>
            <w:r>
              <w:rPr>
                <w:rFonts w:hint="eastAsia" w:ascii="宋体" w:hAnsi="宋体"/>
                <w:szCs w:val="21"/>
                <w:lang w:val="en-US" w:eastAsia="zh-CN"/>
              </w:rPr>
              <w:t>过程、</w:t>
            </w:r>
            <w:r>
              <w:rPr>
                <w:rFonts w:hint="eastAsia" w:ascii="宋体" w:hAnsi="宋体"/>
                <w:szCs w:val="21"/>
              </w:rPr>
              <w:t>环保草毯的销售</w:t>
            </w:r>
            <w:r>
              <w:rPr>
                <w:rFonts w:hint="eastAsia" w:ascii="宋体" w:hAnsi="宋体"/>
                <w:szCs w:val="21"/>
                <w:lang w:val="en-US" w:eastAsia="zh-CN"/>
              </w:rPr>
              <w:t>过程</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ascii="宋体" w:hAnsi="宋体"/>
                <w:b/>
                <w:sz w:val="21"/>
                <w:szCs w:val="21"/>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pacing w:line="240" w:lineRule="exact"/>
              <w:rPr>
                <w:b/>
                <w:color w:val="auto"/>
                <w:sz w:val="20"/>
                <w:szCs w:val="20"/>
              </w:rPr>
            </w:pPr>
          </w:p>
          <w:p>
            <w:pPr>
              <w:widowControl/>
              <w:spacing w:line="460" w:lineRule="exact"/>
              <w:jc w:val="left"/>
              <w:rPr>
                <w:rFonts w:ascii="宋体" w:hAnsi="宋体"/>
                <w:b/>
                <w:sz w:val="21"/>
                <w:szCs w:val="21"/>
              </w:rPr>
            </w:pPr>
            <w:r>
              <w:rPr>
                <w:rFonts w:hint="eastAsia"/>
                <w:bCs/>
                <w:color w:val="auto"/>
                <w:szCs w:val="21"/>
              </w:rPr>
              <w:t>对重要环境因素（</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rPr>
                <w:b/>
                <w:color w:val="auto"/>
                <w:sz w:val="20"/>
                <w:szCs w:val="20"/>
              </w:rPr>
            </w:pPr>
          </w:p>
          <w:p>
            <w:pPr>
              <w:spacing w:line="240" w:lineRule="exact"/>
              <w:rPr>
                <w:rFonts w:ascii="宋体" w:hAnsi="宋体"/>
                <w:b/>
                <w:sz w:val="21"/>
                <w:szCs w:val="21"/>
              </w:rPr>
            </w:pPr>
            <w:r>
              <w:rPr>
                <w:rFonts w:hint="eastAsia"/>
                <w:bCs/>
                <w:color w:val="auto"/>
                <w:szCs w:val="21"/>
              </w:rPr>
              <w:t>对不可接受风险（</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r>
              <w:rPr>
                <w:rFonts w:hint="eastAsia"/>
                <w:color w:val="auto"/>
                <w:szCs w:val="21"/>
              </w:rPr>
              <w:t>，</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9月</w:t>
            </w:r>
            <w:r>
              <w:rPr>
                <w:rFonts w:hint="eastAsia" w:ascii="宋体" w:hAnsi="宋体" w:cs="宋体"/>
                <w:szCs w:val="21"/>
                <w:highlight w:val="none"/>
              </w:rPr>
              <w:t>-</w:t>
            </w:r>
            <w:r>
              <w:rPr>
                <w:rFonts w:hint="eastAsia" w:ascii="宋体" w:hAnsi="宋体" w:cs="宋体"/>
                <w:szCs w:val="21"/>
                <w:highlight w:val="none"/>
                <w:lang w:val="en-US" w:eastAsia="zh-CN"/>
              </w:rPr>
              <w:t>2020年3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szCs w:val="21"/>
              </w:rPr>
              <w:t>建立有《内部审核控制程序》，规定了内审频次一年一次，内审时间：2020年11月10日，拟定了审核实施表，明确了内审范围，内审人员经培训合格上岗，能力满足要求，未出现审核本部门情况，内审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szCs w:val="21"/>
              </w:rPr>
              <w:t>管理评审频次为一年一次、本次管理评审于2020年12月20日由总经理主持完成、提供主要输入材料有各部门总结，输入信息基本充分和满足要求。输出见“管理评审报告”,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rPr>
                <w:rFonts w:hint="eastAsia" w:ascii="宋体" w:hAnsi="宋体" w:cs="宋体"/>
                <w:color w:val="000000" w:themeColor="text1"/>
              </w:rPr>
            </w:pPr>
            <w:r>
              <w:rPr>
                <w:rFonts w:hint="eastAsia" w:ascii="宋体" w:hAnsi="宋体" w:cs="宋体"/>
                <w:color w:val="000000" w:themeColor="text1"/>
              </w:rPr>
              <w:t>(五)持</w:t>
            </w:r>
          </w:p>
          <w:p>
            <w:pPr>
              <w:spacing w:line="240" w:lineRule="exact"/>
              <w:rPr>
                <w:rFonts w:hint="eastAsia" w:ascii="宋体" w:hAnsi="宋体" w:cs="宋体"/>
                <w:color w:val="000000" w:themeColor="text1"/>
              </w:rPr>
            </w:pPr>
            <w:r>
              <w:rPr>
                <w:rFonts w:hint="eastAsia" w:ascii="宋体" w:hAnsi="宋体" w:cs="宋体"/>
                <w:color w:val="000000" w:themeColor="text1"/>
              </w:rPr>
              <w:t>续</w:t>
            </w:r>
          </w:p>
          <w:p>
            <w:pPr>
              <w:spacing w:line="240" w:lineRule="exact"/>
              <w:rPr>
                <w:rFonts w:hint="eastAsia" w:ascii="宋体" w:hAnsi="宋体" w:cs="宋体"/>
                <w:color w:val="000000" w:themeColor="text1"/>
              </w:rPr>
            </w:pPr>
            <w:r>
              <w:rPr>
                <w:rFonts w:hint="eastAsia" w:ascii="宋体" w:hAnsi="宋体" w:cs="宋体"/>
                <w:color w:val="000000" w:themeColor="text1"/>
              </w:rPr>
              <w:t>改</w:t>
            </w:r>
          </w:p>
          <w:p>
            <w:pPr>
              <w:spacing w:line="240" w:lineRule="exact"/>
              <w:rPr>
                <w:rFonts w:hint="eastAsia" w:ascii="宋体" w:hAnsi="宋体" w:cs="宋体"/>
                <w:color w:val="000000" w:themeColor="text1"/>
              </w:rPr>
            </w:pPr>
            <w:r>
              <w:rPr>
                <w:rFonts w:hint="eastAsia" w:ascii="宋体" w:hAnsi="宋体" w:cs="宋体"/>
                <w:color w:val="000000" w:themeColor="text1"/>
              </w:rPr>
              <w:t>进</w:t>
            </w:r>
          </w:p>
        </w:tc>
        <w:tc>
          <w:tcPr>
            <w:tcW w:w="9198" w:type="dxa"/>
            <w:vAlign w:val="top"/>
          </w:tcPr>
          <w:p>
            <w:pPr>
              <w:spacing w:line="240" w:lineRule="exact"/>
              <w:rPr>
                <w:rFonts w:hint="eastAsia" w:ascii="宋体" w:hAnsi="宋体" w:cs="宋体"/>
                <w:color w:val="000000" w:themeColor="text1"/>
              </w:rPr>
            </w:pPr>
            <w:r>
              <w:rPr>
                <w:rFonts w:hint="eastAsia" w:ascii="宋体" w:hAnsi="宋体" w:cs="宋体"/>
                <w:color w:val="000000" w:themeColor="text1"/>
              </w:rPr>
              <w:t>1 纠正/预防措施的实施及效果;</w:t>
            </w:r>
          </w:p>
          <w:p>
            <w:pPr>
              <w:spacing w:line="240" w:lineRule="exact"/>
              <w:rPr>
                <w:rFonts w:hint="eastAsia" w:ascii="宋体" w:hAnsi="宋体" w:cs="宋体"/>
                <w:color w:val="000000" w:themeColor="text1"/>
              </w:rPr>
            </w:pPr>
          </w:p>
          <w:p>
            <w:pPr>
              <w:spacing w:line="240" w:lineRule="exact"/>
              <w:rPr>
                <w:rFonts w:hint="eastAsia" w:ascii="宋体" w:hAnsi="宋体" w:cs="宋体"/>
                <w:color w:val="000000" w:themeColor="text1"/>
              </w:rPr>
            </w:pPr>
            <w:r>
              <w:rPr>
                <w:rFonts w:hint="eastAsia" w:ascii="宋体" w:hAnsi="宋体" w:cs="宋体"/>
                <w:color w:val="000000" w:themeColor="text1"/>
              </w:rPr>
              <w:t>公司明确通过对内、外审核结果、管理评审输出、监测和测量等活动中识别出在产品/服务、过程、管理体系等方面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rPr>
                <w:rFonts w:hint="eastAsia" w:ascii="宋体" w:hAnsi="宋体" w:cs="宋体"/>
                <w:color w:val="000000" w:themeColor="text1"/>
              </w:rPr>
            </w:pPr>
          </w:p>
        </w:tc>
        <w:tc>
          <w:tcPr>
            <w:tcW w:w="9198" w:type="dxa"/>
          </w:tcPr>
          <w:p>
            <w:pPr>
              <w:spacing w:line="240" w:lineRule="exact"/>
              <w:rPr>
                <w:rFonts w:hint="eastAsia" w:ascii="宋体" w:hAnsi="宋体" w:cs="宋体"/>
                <w:color w:val="000000" w:themeColor="text1"/>
                <w:lang w:val="en-US" w:eastAsia="zh-CN"/>
              </w:rPr>
            </w:pPr>
            <w:r>
              <w:rPr>
                <w:rFonts w:hint="eastAsia" w:ascii="宋体" w:hAnsi="宋体" w:cs="宋体"/>
                <w:color w:val="000000" w:themeColor="text1"/>
              </w:rPr>
              <w:t>2.（上次审核后）重大事故、顾客/相关方投诉：</w:t>
            </w:r>
            <w:r>
              <w:rPr>
                <w:rFonts w:hint="eastAsia" w:ascii="宋体" w:hAnsi="宋体" w:cs="宋体"/>
                <w:color w:val="000000" w:themeColor="text1"/>
                <w:lang w:val="en-US" w:eastAsia="zh-CN"/>
              </w:rPr>
              <w:t>无</w:t>
            </w:r>
          </w:p>
          <w:p>
            <w:pPr>
              <w:spacing w:line="240" w:lineRule="exact"/>
              <w:rPr>
                <w:rFonts w:hint="eastAsia" w:ascii="宋体" w:hAnsi="宋体" w:cs="宋体"/>
                <w:color w:val="000000" w:themeColor="text1"/>
              </w:rPr>
            </w:pPr>
          </w:p>
          <w:p>
            <w:pPr>
              <w:spacing w:line="240" w:lineRule="exact"/>
              <w:rPr>
                <w:rFonts w:hint="eastAsia"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rPr>
                <w:rFonts w:hint="eastAsia" w:ascii="宋体" w:hAnsi="宋体" w:cs="宋体"/>
                <w:color w:val="000000" w:themeColor="text1"/>
              </w:rPr>
            </w:pPr>
          </w:p>
        </w:tc>
        <w:tc>
          <w:tcPr>
            <w:tcW w:w="9198" w:type="dxa"/>
          </w:tcPr>
          <w:p>
            <w:pPr>
              <w:spacing w:line="240" w:lineRule="exact"/>
              <w:rPr>
                <w:rFonts w:hint="eastAsia" w:ascii="宋体" w:hAnsi="宋体" w:cs="宋体"/>
                <w:color w:val="000000" w:themeColor="text1"/>
              </w:rPr>
            </w:pPr>
            <w:r>
              <w:rPr>
                <w:rFonts w:hint="eastAsia" w:ascii="宋体" w:hAnsi="宋体" w:cs="宋体"/>
                <w:color w:val="000000" w:themeColor="text1"/>
              </w:rPr>
              <w:t>3. 创新情况</w:t>
            </w:r>
            <w:r>
              <w:rPr>
                <w:rFonts w:hint="eastAsia" w:ascii="宋体" w:hAnsi="宋体" w:cs="宋体"/>
                <w:color w:val="000000" w:themeColor="text1"/>
                <w:lang w:val="en-US" w:eastAsia="zh-CN"/>
              </w:rPr>
              <w:t xml:space="preserve">    </w:t>
            </w:r>
            <w:r>
              <w:rPr>
                <w:rFonts w:hint="eastAsia" w:ascii="宋体" w:hAnsi="宋体" w:cs="宋体"/>
                <w:color w:val="000000" w:themeColor="text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rPr>
                <w:rFonts w:hint="eastAsia" w:ascii="宋体" w:hAnsi="宋体" w:cs="宋体"/>
                <w:color w:val="000000" w:themeColor="text1"/>
              </w:rPr>
            </w:pPr>
          </w:p>
        </w:tc>
        <w:tc>
          <w:tcPr>
            <w:tcW w:w="9198" w:type="dxa"/>
          </w:tcPr>
          <w:p>
            <w:pPr>
              <w:numPr>
                <w:ilvl w:val="0"/>
                <w:numId w:val="1"/>
              </w:numPr>
              <w:spacing w:line="240" w:lineRule="exact"/>
              <w:ind w:left="0" w:leftChars="0" w:firstLine="0" w:firstLineChars="0"/>
              <w:rPr>
                <w:rFonts w:hint="eastAsia" w:ascii="宋体" w:hAnsi="宋体" w:cs="宋体"/>
                <w:color w:val="000000" w:themeColor="text1"/>
                <w:lang w:val="en-US" w:eastAsia="zh-CN"/>
              </w:rPr>
            </w:pPr>
            <w:r>
              <w:rPr>
                <w:rFonts w:hint="eastAsia" w:ascii="宋体" w:hAnsi="宋体" w:cs="宋体"/>
                <w:color w:val="000000" w:themeColor="text1"/>
              </w:rPr>
              <w:t>上次不符合的整改情况</w:t>
            </w:r>
            <w:r>
              <w:rPr>
                <w:rFonts w:hint="eastAsia" w:ascii="宋体" w:hAnsi="宋体" w:cs="宋体"/>
                <w:color w:val="000000" w:themeColor="text1"/>
                <w:lang w:val="en-US" w:eastAsia="zh-CN"/>
              </w:rPr>
              <w:t xml:space="preserve">  </w:t>
            </w:r>
          </w:p>
          <w:p>
            <w:pPr>
              <w:numPr>
                <w:numId w:val="0"/>
              </w:numPr>
              <w:spacing w:line="240" w:lineRule="exact"/>
              <w:ind w:leftChars="0"/>
              <w:rPr>
                <w:rFonts w:hint="default" w:ascii="宋体" w:hAnsi="宋体" w:cs="宋体"/>
                <w:color w:val="000000" w:themeColor="text1"/>
                <w:lang w:val="en-US" w:eastAsia="zh-CN"/>
              </w:rPr>
            </w:pPr>
            <w:r>
              <w:rPr>
                <w:rFonts w:hint="eastAsia" w:ascii="宋体" w:hAnsi="宋体" w:cs="宋体"/>
                <w:color w:val="000000" w:themeColor="text1"/>
                <w:lang w:eastAsia="zh-CN"/>
              </w:rPr>
              <w:t>查</w:t>
            </w:r>
            <w:r>
              <w:rPr>
                <w:rFonts w:hint="eastAsia" w:ascii="宋体" w:hAnsi="宋体" w:cs="宋体"/>
                <w:color w:val="000000" w:themeColor="text1"/>
                <w:lang w:val="en-US" w:eastAsia="zh-CN"/>
              </w:rPr>
              <w:t>综合部</w:t>
            </w:r>
            <w:r>
              <w:rPr>
                <w:rFonts w:hint="eastAsia" w:ascii="宋体" w:hAnsi="宋体" w:cs="宋体"/>
                <w:color w:val="000000" w:themeColor="text1"/>
                <w:lang w:eastAsia="zh-CN"/>
              </w:rPr>
              <w:t>办公现场，未有配备“灭火器”等消防设施，办公</w:t>
            </w:r>
            <w:bookmarkStart w:id="26" w:name="_GoBack"/>
            <w:bookmarkEnd w:id="26"/>
            <w:r>
              <w:rPr>
                <w:rFonts w:hint="eastAsia" w:ascii="宋体" w:hAnsi="宋体" w:cs="宋体"/>
                <w:color w:val="000000" w:themeColor="text1"/>
                <w:lang w:eastAsia="zh-CN"/>
              </w:rPr>
              <w:t>室没有“严禁烟火”等警示标识，</w:t>
            </w:r>
            <w:r>
              <w:rPr>
                <w:rFonts w:hint="eastAsia" w:ascii="宋体" w:hAnsi="宋体" w:cs="宋体"/>
                <w:color w:val="000000" w:themeColor="text1"/>
                <w:lang w:val="en-US" w:eastAsia="zh-CN"/>
              </w:rPr>
              <w:t>本次无此情况出现，整改有效。</w:t>
            </w:r>
          </w:p>
          <w:p>
            <w:pPr>
              <w:spacing w:line="240" w:lineRule="exact"/>
              <w:rPr>
                <w:rFonts w:hint="default" w:ascii="宋体" w:hAnsi="宋体" w:cs="宋体"/>
                <w:color w:val="000000" w:themeColor="text1"/>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北京盛鑫嘉华环保科技有限公司</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8C0A8E"/>
    <w:rsid w:val="7C7753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2021-07-03T06:06:58Z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7915BB7E82CF496EAD4B05A744798CCE</vt:lpwstr>
  </property>
</Properties>
</file>