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北京胜时代生物科技有限公司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0578-2021-Q</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李新春</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15701331202</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lixinchun@bjshengshidai.com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SNP分子标记检测、第二代DNA测序、靶向捕获测序的技术服务</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34.06.00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GB/T19001-2016/ISO9001:2015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2021年06月27日 上午至2021年06月27日 上午 (共0.5天)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李京田</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审核员</w:t>
            </w:r>
          </w:p>
        </w:tc>
        <w:tc>
          <w:tcPr>
            <w:tcW w:w="3402" w:type="dxa"/>
            <w:gridSpan w:val="4"/>
            <w:vAlign w:val="center"/>
          </w:tcPr>
          <w:p>
            <w:pPr>
              <w:jc w:val="center"/>
              <w:rPr>
                <w:sz w:val="21"/>
                <w:szCs w:val="21"/>
              </w:rPr>
            </w:pPr>
            <w:r>
              <w:rPr>
                <w:sz w:val="21"/>
                <w:szCs w:val="21"/>
              </w:rPr>
              <w:t>34.06.00</w:t>
            </w:r>
          </w:p>
        </w:tc>
        <w:tc>
          <w:tcPr>
            <w:tcW w:w="1559" w:type="dxa"/>
            <w:gridSpan w:val="4"/>
            <w:vAlign w:val="center"/>
          </w:tcPr>
          <w:p>
            <w:pPr>
              <w:jc w:val="center"/>
              <w:rPr>
                <w:sz w:val="21"/>
                <w:szCs w:val="21"/>
              </w:rPr>
            </w:pPr>
            <w:r>
              <w:rPr>
                <w:sz w:val="21"/>
                <w:szCs w:val="21"/>
              </w:rPr>
              <w:t>13601093935</w:t>
            </w:r>
          </w:p>
        </w:tc>
        <w:tc>
          <w:tcPr>
            <w:tcW w:w="1229" w:type="dxa"/>
            <w:vAlign w:val="center"/>
          </w:tcPr>
          <w:p>
            <w:pPr>
              <w:jc w:val="center"/>
              <w:rPr>
                <w:sz w:val="21"/>
                <w:szCs w:val="21"/>
              </w:rPr>
            </w:pPr>
            <w:r>
              <w:rPr>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402" w:type="dxa"/>
            <w:gridSpan w:val="4"/>
            <w:vAlign w:val="center"/>
          </w:tcPr>
          <w:p/>
        </w:tc>
        <w:tc>
          <w:tcPr>
            <w:tcW w:w="1559" w:type="dxa"/>
            <w:gridSpan w:val="4"/>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2021.6.26</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eastAsia="宋体"/>
                <w:lang w:val="en-US" w:eastAsia="zh-CN"/>
              </w:rPr>
            </w:pPr>
            <w:r>
              <w:rPr>
                <w:rFonts w:hint="eastAsia"/>
                <w:lang w:val="en-US" w:eastAsia="zh-CN"/>
              </w:rPr>
              <w:t>2021.6.27</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2021</w:t>
            </w:r>
            <w:bookmarkStart w:id="14" w:name="_GoBack"/>
            <w:bookmarkEnd w:id="14"/>
            <w:r>
              <w:rPr>
                <w:rFonts w:hint="eastAsia"/>
                <w:b/>
                <w:sz w:val="20"/>
                <w:lang w:val="en-US" w:eastAsia="zh-CN"/>
              </w:rPr>
              <w:t>.6.27</w:t>
            </w:r>
          </w:p>
        </w:tc>
        <w:tc>
          <w:tcPr>
            <w:tcW w:w="15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8：30-9：00</w:t>
            </w:r>
          </w:p>
        </w:tc>
        <w:tc>
          <w:tcPr>
            <w:tcW w:w="6665" w:type="dxa"/>
            <w:vAlign w:val="center"/>
          </w:tcPr>
          <w:p>
            <w:pPr>
              <w:snapToGrid w:val="0"/>
              <w:spacing w:before="60" w:after="60"/>
              <w:jc w:val="left"/>
              <w:rPr>
                <w:rFonts w:hint="eastAsia" w:ascii="宋体" w:hAnsi="宋体"/>
              </w:rPr>
            </w:pPr>
            <w:r>
              <w:rPr>
                <w:rFonts w:hint="eastAsia" w:ascii="宋体" w:hAnsi="宋体"/>
              </w:rPr>
              <w:t>首次会议</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restart"/>
            <w:vAlign w:val="center"/>
          </w:tcPr>
          <w:p>
            <w:pPr>
              <w:snapToGrid w:val="0"/>
              <w:spacing w:line="280" w:lineRule="exact"/>
              <w:jc w:val="left"/>
              <w:rPr>
                <w:rFonts w:hint="default" w:eastAsia="宋体"/>
                <w:b/>
                <w:sz w:val="20"/>
                <w:lang w:val="en-US" w:eastAsia="zh-CN"/>
              </w:rPr>
            </w:pPr>
            <w:r>
              <w:rPr>
                <w:rFonts w:hint="eastAsia"/>
                <w:b/>
                <w:sz w:val="20"/>
                <w:lang w:val="en-US" w:eastAsia="zh-CN"/>
              </w:rPr>
              <w:t>9：00-12：00</w:t>
            </w:r>
          </w:p>
        </w:tc>
        <w:tc>
          <w:tcPr>
            <w:tcW w:w="6665" w:type="dxa"/>
            <w:vAlign w:val="center"/>
          </w:tcPr>
          <w:p>
            <w:pPr>
              <w:snapToGrid w:val="0"/>
              <w:rPr>
                <w:rFonts w:ascii="楷体_GB2312" w:eastAsia="楷体_GB2312"/>
              </w:rPr>
            </w:pPr>
            <w:r>
              <w:rPr>
                <w:rFonts w:hint="eastAsia" w:ascii="楷体_GB2312" w:eastAsia="楷体_GB2312"/>
              </w:rPr>
              <w:t>管理层</w:t>
            </w:r>
          </w:p>
          <w:p>
            <w:pPr>
              <w:pStyle w:val="12"/>
              <w:ind w:firstLine="480"/>
              <w:rPr>
                <w:rFonts w:ascii="楷体_GB2312" w:hAnsi="Calibri" w:eastAsia="楷体_GB2312"/>
              </w:rPr>
            </w:pPr>
            <w:r>
              <w:rPr>
                <w:rFonts w:hint="eastAsia" w:ascii="楷体_GB2312" w:hAnsi="Calibri" w:eastAsia="楷体_GB2312"/>
              </w:rPr>
              <w:t>了解公司基本概况，了解公司管理体系策划情况，理解组织及其环境，相关方需求和期望；确定质量管理体系的范围、方针、特别是对管理体系的关键绩效或重要的因素、过程、目标和运作的识别情况；</w:t>
            </w:r>
          </w:p>
          <w:p>
            <w:pPr>
              <w:pStyle w:val="12"/>
              <w:ind w:firstLine="480"/>
              <w:rPr>
                <w:rFonts w:ascii="楷体_GB2312" w:hAnsi="Calibri" w:eastAsia="楷体_GB2312"/>
              </w:rPr>
            </w:pPr>
            <w:r>
              <w:rPr>
                <w:rFonts w:hint="eastAsia" w:ascii="楷体_GB2312" w:hAnsi="Calibri" w:eastAsia="楷体_GB2312"/>
              </w:rPr>
              <w:t>评价客户是否策划和实施了内部审核；</w:t>
            </w:r>
          </w:p>
          <w:p>
            <w:pPr>
              <w:snapToGrid w:val="0"/>
              <w:spacing w:before="60" w:after="60"/>
              <w:jc w:val="left"/>
              <w:rPr>
                <w:rFonts w:hint="eastAsia" w:ascii="宋体" w:hAnsi="宋体"/>
              </w:rPr>
            </w:pPr>
            <w:r>
              <w:rPr>
                <w:rFonts w:hint="eastAsia" w:ascii="楷体_GB2312" w:hAnsi="Calibri" w:eastAsia="楷体_GB2312"/>
              </w:rPr>
              <w:t>了解和评审公司是否策划和实施了管理评审</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continue"/>
            <w:tcBorders/>
            <w:vAlign w:val="center"/>
          </w:tcPr>
          <w:p>
            <w:pPr>
              <w:snapToGrid w:val="0"/>
              <w:spacing w:line="280" w:lineRule="exact"/>
              <w:jc w:val="left"/>
              <w:rPr>
                <w:b/>
                <w:sz w:val="20"/>
              </w:rPr>
            </w:pPr>
          </w:p>
        </w:tc>
        <w:tc>
          <w:tcPr>
            <w:tcW w:w="6665" w:type="dxa"/>
            <w:vAlign w:val="center"/>
          </w:tcPr>
          <w:p>
            <w:pPr>
              <w:snapToGrid w:val="0"/>
              <w:rPr>
                <w:rFonts w:ascii="楷体_GB2312" w:eastAsia="楷体_GB2312"/>
              </w:rPr>
            </w:pPr>
            <w:r>
              <w:rPr>
                <w:rFonts w:hint="eastAsia" w:ascii="楷体_GB2312" w:eastAsia="楷体_GB2312"/>
                <w:szCs w:val="22"/>
                <w:lang w:eastAsia="zh-CN"/>
              </w:rPr>
              <w:t>办公室</w:t>
            </w:r>
            <w:r>
              <w:rPr>
                <w:rFonts w:hint="eastAsia" w:ascii="楷体_GB2312" w:eastAsia="楷体_GB2312"/>
              </w:rPr>
              <w:t>及现场参观</w:t>
            </w:r>
          </w:p>
          <w:p>
            <w:pPr>
              <w:pStyle w:val="12"/>
              <w:ind w:firstLine="480"/>
              <w:rPr>
                <w:rFonts w:hint="eastAsia" w:ascii="楷体_GB2312" w:hAnsi="Calibri" w:eastAsia="楷体_GB2312"/>
              </w:rPr>
            </w:pPr>
            <w:r>
              <w:rPr>
                <w:rFonts w:hint="eastAsia" w:ascii="楷体_GB2312" w:hAnsi="Calibri" w:eastAsia="楷体_GB2312"/>
              </w:rPr>
              <w:t>公司过程识别情况</w:t>
            </w:r>
          </w:p>
          <w:p>
            <w:pPr>
              <w:pStyle w:val="12"/>
              <w:ind w:firstLine="480"/>
              <w:rPr>
                <w:rFonts w:hint="eastAsia" w:ascii="楷体_GB2312" w:hAnsi="Calibri" w:eastAsia="楷体_GB2312"/>
              </w:rPr>
            </w:pPr>
            <w:r>
              <w:rPr>
                <w:rFonts w:hint="eastAsia" w:ascii="楷体_GB2312" w:hAnsi="Calibri" w:eastAsia="楷体_GB2312"/>
              </w:rPr>
              <w:t>目标的策划和实施情况 内部审核策划和实施情况</w:t>
            </w:r>
          </w:p>
          <w:p>
            <w:pPr>
              <w:autoSpaceDE w:val="0"/>
              <w:autoSpaceDN w:val="0"/>
              <w:adjustRightInd w:val="0"/>
              <w:jc w:val="left"/>
              <w:rPr>
                <w:rFonts w:ascii="楷体_GB2312" w:hAnsi="Calibri" w:eastAsia="楷体_GB2312" w:cs="宋体"/>
                <w:color w:val="000000"/>
                <w:kern w:val="0"/>
                <w:szCs w:val="24"/>
              </w:rPr>
            </w:pPr>
            <w:r>
              <w:rPr>
                <w:rFonts w:hint="eastAsia" w:ascii="楷体_GB2312" w:hAnsi="Calibri" w:eastAsia="楷体_GB2312" w:cs="宋体"/>
                <w:color w:val="000000"/>
                <w:kern w:val="0"/>
                <w:szCs w:val="24"/>
              </w:rPr>
              <w:t>收集</w:t>
            </w:r>
            <w:r>
              <w:rPr>
                <w:rFonts w:hint="eastAsia" w:ascii="楷体_GB2312" w:hAnsi="Calibri" w:eastAsia="楷体_GB2312"/>
                <w:szCs w:val="22"/>
              </w:rPr>
              <w:t>关于生物学DNA提取、SNP芯片技术服务的管理</w:t>
            </w:r>
            <w:r>
              <w:rPr>
                <w:rFonts w:hint="eastAsia" w:ascii="楷体_GB2312" w:hAnsi="Calibri" w:eastAsia="楷体_GB2312" w:cs="宋体"/>
                <w:color w:val="000000"/>
                <w:kern w:val="0"/>
                <w:szCs w:val="24"/>
              </w:rPr>
              <w:t>体系范围的必要信息，包括：</w:t>
            </w:r>
          </w:p>
          <w:p>
            <w:pPr>
              <w:autoSpaceDE w:val="0"/>
              <w:autoSpaceDN w:val="0"/>
              <w:adjustRightInd w:val="0"/>
              <w:jc w:val="left"/>
              <w:rPr>
                <w:rFonts w:ascii="楷体_GB2312" w:hAnsi="Calibri" w:eastAsia="楷体_GB2312" w:cs="宋体"/>
                <w:color w:val="000000"/>
                <w:kern w:val="0"/>
                <w:szCs w:val="24"/>
              </w:rPr>
            </w:pPr>
            <w:r>
              <w:rPr>
                <w:rFonts w:ascii="楷体_GB2312" w:hAnsi="Calibri" w:eastAsia="楷体_GB2312" w:cs="宋体"/>
                <w:color w:val="000000"/>
                <w:kern w:val="0"/>
                <w:szCs w:val="24"/>
              </w:rPr>
              <w:t xml:space="preserve">- </w:t>
            </w:r>
            <w:r>
              <w:rPr>
                <w:rFonts w:hint="eastAsia" w:ascii="楷体_GB2312" w:hAnsi="Calibri" w:eastAsia="楷体_GB2312" w:cs="宋体"/>
                <w:color w:val="000000"/>
                <w:kern w:val="0"/>
                <w:szCs w:val="24"/>
              </w:rPr>
              <w:t>客户的场所</w:t>
            </w:r>
          </w:p>
          <w:p>
            <w:pPr>
              <w:snapToGrid w:val="0"/>
              <w:rPr>
                <w:rFonts w:ascii="楷体_GB2312" w:hAnsi="Calibri" w:eastAsia="楷体_GB2312" w:cs="宋体"/>
                <w:color w:val="000000"/>
                <w:kern w:val="0"/>
                <w:szCs w:val="24"/>
              </w:rPr>
            </w:pPr>
            <w:r>
              <w:rPr>
                <w:rFonts w:ascii="楷体_GB2312" w:hAnsi="Calibri" w:eastAsia="楷体_GB2312" w:cs="宋体"/>
                <w:color w:val="000000"/>
                <w:kern w:val="0"/>
                <w:szCs w:val="24"/>
              </w:rPr>
              <w:t xml:space="preserve">- </w:t>
            </w:r>
            <w:r>
              <w:rPr>
                <w:rFonts w:hint="eastAsia" w:ascii="楷体_GB2312" w:hAnsi="Calibri" w:eastAsia="楷体_GB2312" w:cs="宋体"/>
                <w:color w:val="000000"/>
                <w:kern w:val="0"/>
                <w:szCs w:val="24"/>
              </w:rPr>
              <w:t>所建立的控制的水平</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continue"/>
            <w:tcBorders/>
            <w:vAlign w:val="center"/>
          </w:tcPr>
          <w:p>
            <w:pPr>
              <w:snapToGrid w:val="0"/>
              <w:spacing w:line="280" w:lineRule="exact"/>
              <w:jc w:val="left"/>
              <w:rPr>
                <w:b/>
                <w:sz w:val="20"/>
              </w:rPr>
            </w:pPr>
          </w:p>
        </w:tc>
        <w:tc>
          <w:tcPr>
            <w:tcW w:w="6665" w:type="dxa"/>
            <w:vAlign w:val="center"/>
          </w:tcPr>
          <w:p>
            <w:pPr>
              <w:autoSpaceDE w:val="0"/>
              <w:autoSpaceDN w:val="0"/>
              <w:adjustRightInd w:val="0"/>
              <w:jc w:val="left"/>
              <w:rPr>
                <w:rFonts w:hint="eastAsia" w:ascii="楷体_GB2312" w:hAnsi="Calibri" w:eastAsia="楷体_GB2312"/>
                <w:szCs w:val="22"/>
              </w:rPr>
            </w:pPr>
            <w:r>
              <w:rPr>
                <w:rFonts w:hint="eastAsia" w:ascii="楷体_GB2312" w:hAnsi="Calibri" w:eastAsia="楷体_GB2312"/>
                <w:szCs w:val="22"/>
                <w:lang w:eastAsia="zh-CN"/>
              </w:rPr>
              <w:t>生产技术部</w:t>
            </w:r>
            <w:r>
              <w:rPr>
                <w:rFonts w:hint="eastAsia" w:ascii="楷体_GB2312" w:hAnsi="Calibri" w:eastAsia="楷体_GB2312"/>
                <w:szCs w:val="22"/>
              </w:rPr>
              <w:t>现场参观</w:t>
            </w:r>
          </w:p>
          <w:p>
            <w:pPr>
              <w:autoSpaceDE w:val="0"/>
              <w:autoSpaceDN w:val="0"/>
              <w:adjustRightInd w:val="0"/>
              <w:jc w:val="left"/>
              <w:rPr>
                <w:rFonts w:hint="eastAsia" w:ascii="楷体_GB2312" w:eastAsia="楷体_GB2312"/>
                <w:lang w:eastAsia="zh-CN"/>
              </w:rPr>
            </w:pPr>
            <w:r>
              <w:rPr>
                <w:rFonts w:hint="eastAsia" w:ascii="楷体_GB2312" w:hAnsi="Calibri" w:eastAsia="楷体_GB2312"/>
                <w:szCs w:val="22"/>
              </w:rPr>
              <w:t>了解</w:t>
            </w:r>
            <w:r>
              <w:rPr>
                <w:rFonts w:hint="eastAsia" w:ascii="楷体_GB2312" w:hAnsi="Calibri" w:eastAsia="楷体_GB2312"/>
                <w:szCs w:val="22"/>
                <w:lang w:eastAsia="zh-CN"/>
              </w:rPr>
              <w:t>生产技术部</w:t>
            </w:r>
            <w:r>
              <w:rPr>
                <w:rFonts w:hint="eastAsia" w:ascii="楷体_GB2312" w:hAnsi="Calibri" w:eastAsia="楷体_GB2312"/>
                <w:szCs w:val="22"/>
              </w:rPr>
              <w:t>的管理体</w:t>
            </w:r>
            <w:r>
              <w:rPr>
                <w:rFonts w:hint="eastAsia" w:ascii="楷体_GB2312" w:eastAsia="楷体_GB2312"/>
              </w:rPr>
              <w:t>系标准或过程控制情况，以及其他规范性文件充分了解客户的管理体系和现场运作</w:t>
            </w:r>
            <w:r>
              <w:rPr>
                <w:rFonts w:hint="eastAsia" w:ascii="楷体_GB2312" w:eastAsia="楷体_GB2312"/>
                <w:lang w:eastAsia="zh-CN"/>
              </w:rPr>
              <w:t>。</w:t>
            </w:r>
          </w:p>
          <w:p>
            <w:pPr>
              <w:snapToGrid w:val="0"/>
              <w:spacing w:before="60" w:after="60"/>
              <w:jc w:val="left"/>
              <w:rPr>
                <w:rFonts w:hint="eastAsia" w:ascii="楷体_GB2312" w:eastAsia="楷体_GB2312"/>
                <w:szCs w:val="22"/>
              </w:rPr>
            </w:pPr>
            <w:r>
              <w:rPr>
                <w:rFonts w:hint="eastAsia" w:ascii="楷体_GB2312" w:eastAsia="楷体_GB2312"/>
                <w:szCs w:val="22"/>
              </w:rPr>
              <w:t>产品/服务实现过程、外包过程与组织宗旨相关并影响其实现管理体系预期结果的各种外部和内部问题的确定情况：</w:t>
            </w:r>
          </w:p>
          <w:p>
            <w:pPr>
              <w:snapToGrid w:val="0"/>
              <w:spacing w:before="60" w:after="60"/>
              <w:jc w:val="left"/>
              <w:rPr>
                <w:rFonts w:hint="eastAsia" w:ascii="楷体_GB2312" w:eastAsia="楷体_GB2312"/>
                <w:szCs w:val="22"/>
                <w:lang w:eastAsia="zh-CN"/>
              </w:rPr>
            </w:pPr>
            <w:r>
              <w:rPr>
                <w:rFonts w:hint="eastAsia" w:ascii="楷体_GB2312" w:eastAsia="楷体_GB2312"/>
                <w:szCs w:val="22"/>
              </w:rPr>
              <w:t>查组织考虑和确定的风险和机遇、及确定的应措施：</w:t>
            </w:r>
          </w:p>
          <w:p>
            <w:pPr>
              <w:snapToGrid w:val="0"/>
              <w:spacing w:before="60" w:after="60"/>
              <w:jc w:val="left"/>
              <w:rPr>
                <w:rFonts w:hint="eastAsia" w:ascii="宋体" w:hAnsi="宋体"/>
              </w:rPr>
            </w:pPr>
            <w:r>
              <w:rPr>
                <w:rFonts w:hint="eastAsia" w:ascii="楷体_GB2312" w:eastAsia="楷体_GB2312"/>
              </w:rPr>
              <w:t>以便为策划第二阶段提供关注点；</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continue"/>
            <w:tcBorders/>
            <w:vAlign w:val="center"/>
          </w:tcPr>
          <w:p>
            <w:pPr>
              <w:snapToGrid w:val="0"/>
              <w:spacing w:line="280" w:lineRule="exact"/>
              <w:jc w:val="left"/>
              <w:rPr>
                <w:b/>
                <w:sz w:val="20"/>
              </w:rPr>
            </w:pPr>
          </w:p>
        </w:tc>
        <w:tc>
          <w:tcPr>
            <w:tcW w:w="6665" w:type="dxa"/>
            <w:vAlign w:val="center"/>
          </w:tcPr>
          <w:p>
            <w:pPr>
              <w:snapToGrid w:val="0"/>
              <w:spacing w:before="60" w:after="60"/>
              <w:jc w:val="left"/>
              <w:rPr>
                <w:rFonts w:hint="eastAsia" w:ascii="楷体_GB2312" w:eastAsia="楷体_GB2312"/>
                <w:szCs w:val="22"/>
              </w:rPr>
            </w:pPr>
          </w:p>
          <w:p>
            <w:pPr>
              <w:snapToGrid w:val="0"/>
              <w:spacing w:before="60" w:after="60"/>
              <w:jc w:val="left"/>
              <w:rPr>
                <w:rFonts w:hint="eastAsia" w:ascii="楷体_GB2312" w:eastAsia="楷体_GB2312"/>
                <w:szCs w:val="22"/>
              </w:rPr>
            </w:pPr>
            <w:r>
              <w:rPr>
                <w:rFonts w:hint="eastAsia" w:ascii="楷体_GB2312" w:eastAsia="楷体_GB2312"/>
                <w:szCs w:val="22"/>
                <w:lang w:eastAsia="zh-CN"/>
              </w:rPr>
              <w:t>市场部</w:t>
            </w:r>
            <w:r>
              <w:rPr>
                <w:rFonts w:hint="eastAsia" w:ascii="楷体_GB2312" w:eastAsia="楷体_GB2312"/>
                <w:szCs w:val="22"/>
              </w:rPr>
              <w:t>：</w:t>
            </w:r>
            <w:r>
              <w:rPr>
                <w:rFonts w:hint="eastAsia" w:ascii="楷体_GB2312" w:eastAsia="楷体_GB2312"/>
                <w:szCs w:val="22"/>
                <w:lang w:eastAsia="zh-CN"/>
              </w:rPr>
              <w:t>了解部门的分工，跟</w:t>
            </w:r>
            <w:r>
              <w:rPr>
                <w:rFonts w:hint="eastAsia" w:ascii="楷体_GB2312" w:eastAsia="楷体_GB2312"/>
                <w:szCs w:val="22"/>
              </w:rPr>
              <w:t>顾客沟通、合同管理、顾客满意度调查等情况</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12：00-12：30</w:t>
            </w:r>
          </w:p>
        </w:tc>
        <w:tc>
          <w:tcPr>
            <w:tcW w:w="6665" w:type="dxa"/>
            <w:vAlign w:val="center"/>
          </w:tcPr>
          <w:p>
            <w:pPr>
              <w:snapToGrid w:val="0"/>
              <w:spacing w:before="60" w:after="60"/>
              <w:jc w:val="left"/>
              <w:rPr>
                <w:rFonts w:hint="default" w:ascii="宋体" w:hAnsi="宋体" w:eastAsia="宋体"/>
                <w:szCs w:val="21"/>
                <w:lang w:val="en-US" w:eastAsia="zh-CN"/>
              </w:rPr>
            </w:pPr>
            <w:r>
              <w:rPr>
                <w:rFonts w:hint="eastAsia" w:ascii="宋体" w:hAnsi="宋体"/>
                <w:szCs w:val="21"/>
              </w:rPr>
              <w:t>与管理层沟通</w:t>
            </w:r>
            <w:r>
              <w:rPr>
                <w:rFonts w:hint="eastAsia" w:ascii="宋体" w:hAnsi="宋体"/>
                <w:szCs w:val="21"/>
                <w:lang w:val="en-US" w:eastAsia="zh-CN"/>
              </w:rPr>
              <w:t xml:space="preserve">  </w:t>
            </w:r>
            <w:r>
              <w:rPr>
                <w:rFonts w:hint="eastAsia" w:ascii="宋体" w:hAnsi="宋体"/>
                <w:szCs w:val="21"/>
              </w:rPr>
              <w:t>末次会议</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Lucida Sans">
    <w:altName w:val="Lucida Sans Unicode"/>
    <w:panose1 w:val="020B06020305040202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E105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2019-03-27T03:10:00Z</cp:lastPrinted>
  <dcterms:modified xsi:type="dcterms:W3CDTF">2021-06-28T01:53:23Z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1D68FB6989DE4A48947F9247B8059DF4</vt:lpwstr>
  </property>
</Properties>
</file>