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b/>
                <w:sz w:val="20"/>
              </w:rPr>
              <w:t>北京连诚嘉韵园林绿化有限责任公司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Q：35.17.00</w:t>
            </w:r>
          </w:p>
          <w:p>
            <w:pPr>
              <w:snapToGrid w:val="0"/>
              <w:spacing w:line="280" w:lineRule="exact"/>
              <w:ind w:left="52"/>
              <w:jc w:val="center"/>
              <w:rPr>
                <w:b/>
                <w:sz w:val="20"/>
              </w:rPr>
            </w:pPr>
            <w:r>
              <w:rPr>
                <w:b/>
                <w:sz w:val="20"/>
              </w:rPr>
              <w:t>E：35.17.00</w:t>
            </w:r>
          </w:p>
          <w:p>
            <w:pPr>
              <w:snapToGrid w:val="0"/>
              <w:spacing w:line="280" w:lineRule="exact"/>
              <w:ind w:left="52"/>
              <w:jc w:val="center"/>
              <w:rPr>
                <w:b/>
                <w:sz w:val="20"/>
              </w:rPr>
            </w:pPr>
            <w:r>
              <w:rPr>
                <w:b/>
                <w:sz w:val="20"/>
              </w:rPr>
              <w:t>O：35.17.00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35.17.00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default" w:eastAsia="宋体"/>
                <w:b/>
                <w:sz w:val="20"/>
                <w:lang w:val="en-US" w:eastAsia="zh-CN"/>
              </w:rPr>
            </w:pPr>
            <w:r>
              <w:rPr>
                <w:rFonts w:hint="eastAsia"/>
                <w:sz w:val="18"/>
                <w:szCs w:val="18"/>
                <w:lang w:val="en-US" w:eastAsia="zh-CN"/>
              </w:rPr>
              <w:t>姜小清</w:t>
            </w:r>
          </w:p>
        </w:tc>
        <w:tc>
          <w:tcPr>
            <w:tcW w:w="1290"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pacing w:line="240" w:lineRule="exact"/>
              <w:rPr>
                <w:sz w:val="18"/>
                <w:szCs w:val="18"/>
              </w:rPr>
            </w:pPr>
            <w:r>
              <w:rPr>
                <w:sz w:val="18"/>
                <w:szCs w:val="18"/>
              </w:rPr>
              <w:t>Q:35.17.00</w:t>
            </w:r>
          </w:p>
          <w:p>
            <w:pPr>
              <w:snapToGrid w:val="0"/>
              <w:spacing w:line="360" w:lineRule="exact"/>
              <w:jc w:val="both"/>
              <w:rPr>
                <w:rFonts w:hint="eastAsia" w:eastAsia="宋体"/>
                <w:b/>
                <w:sz w:val="20"/>
                <w:lang w:val="en-US" w:eastAsia="zh-CN"/>
              </w:rPr>
            </w:pPr>
            <w:r>
              <w:rPr>
                <w:sz w:val="18"/>
                <w:szCs w:val="18"/>
              </w:rPr>
              <w:t>O:35.17.00</w:t>
            </w:r>
          </w:p>
        </w:tc>
        <w:tc>
          <w:tcPr>
            <w:tcW w:w="1290" w:type="dxa"/>
            <w:vAlign w:val="center"/>
          </w:tcPr>
          <w:p>
            <w:pPr>
              <w:snapToGrid w:val="0"/>
              <w:spacing w:line="360" w:lineRule="exact"/>
              <w:jc w:val="center"/>
              <w:rPr>
                <w:rFonts w:hint="eastAsia" w:eastAsia="宋体"/>
                <w:b/>
                <w:sz w:val="20"/>
                <w:lang w:val="en-US" w:eastAsia="zh-CN"/>
              </w:rPr>
            </w:pPr>
            <w:r>
              <w:rPr>
                <w:sz w:val="18"/>
                <w:szCs w:val="18"/>
              </w:rPr>
              <w:t>O:35.17.00</w:t>
            </w:r>
          </w:p>
        </w:tc>
        <w:tc>
          <w:tcPr>
            <w:tcW w:w="1505" w:type="dxa"/>
            <w:vAlign w:val="center"/>
          </w:tcPr>
          <w:p>
            <w:pPr>
              <w:snapToGrid w:val="0"/>
              <w:spacing w:line="360" w:lineRule="exact"/>
              <w:jc w:val="center"/>
              <w:rPr>
                <w:rFonts w:hint="eastAsia" w:eastAsia="宋体"/>
                <w:b/>
                <w:sz w:val="20"/>
                <w:lang w:val="en-US" w:eastAsia="zh-CN"/>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2"/>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2"/>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2"/>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3"/>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both"/>
              <w:rPr>
                <w:b/>
                <w:sz w:val="20"/>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both"/>
              <w:rPr>
                <w:rFonts w:hint="default" w:eastAsia="宋体"/>
                <w:b/>
                <w:sz w:val="20"/>
                <w:lang w:val="en-US" w:eastAsia="zh-CN"/>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hint="eastAsia"/>
          <w:b/>
          <w:sz w:val="18"/>
          <w:szCs w:val="18"/>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2021.6.30</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2021.6.30</w:t>
      </w:r>
    </w:p>
    <w:p>
      <w:pPr>
        <w:pStyle w:val="2"/>
        <w:rPr>
          <w:rFonts w:hint="default"/>
          <w:lang w:val="en-US"/>
        </w:rPr>
      </w:pPr>
      <w:bookmarkStart w:id="6" w:name="_GoBack"/>
      <w:bookmarkEnd w:id="6"/>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F15760"/>
    <w:rsid w:val="2FAB503C"/>
    <w:rsid w:val="42835992"/>
    <w:rsid w:val="47162339"/>
    <w:rsid w:val="6A996265"/>
    <w:rsid w:val="72360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2021-06-29T15:28:19Z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2E407C63F3004F20BEAA13394FDD2569</vt:lpwstr>
  </property>
</Properties>
</file>