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b w:val="0"/>
          <w:bCs w:val="0"/>
          <w:sz w:val="28"/>
          <w:szCs w:val="28"/>
          <w:u w:val="single"/>
          <w:lang w:eastAsia="zh-CN"/>
        </w:rPr>
      </w:pPr>
      <w:r>
        <w:rPr>
          <w:rFonts w:hint="eastAsia" w:ascii="宋体" w:hAnsi="宋体"/>
          <w:sz w:val="32"/>
        </w:rPr>
        <w:t>认 证 企 业</w:t>
      </w:r>
      <w:r>
        <w:rPr>
          <w:rFonts w:hint="eastAsia" w:ascii="MS PGothic" w:hAnsi="MS PGothic"/>
          <w:sz w:val="32"/>
        </w:rPr>
        <w:t>：</w:t>
      </w:r>
      <w:r>
        <w:rPr>
          <w:rFonts w:hint="eastAsia" w:ascii="宋体" w:hAnsi="宋体"/>
          <w:b w:val="0"/>
          <w:bCs w:val="0"/>
          <w:sz w:val="28"/>
          <w:szCs w:val="28"/>
          <w:u w:val="single"/>
          <w:lang w:eastAsia="zh-CN"/>
        </w:rPr>
        <w:t>山东禧龙石油装备有限公司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1" w:name="合同编号"/>
      <w:r>
        <w:rPr>
          <w:rFonts w:hint="eastAsia" w:ascii="宋体" w:hAnsi="宋体"/>
          <w:sz w:val="32"/>
          <w:u w:val="single"/>
        </w:rPr>
        <w:t>0</w:t>
      </w:r>
      <w:r>
        <w:rPr>
          <w:rFonts w:hint="eastAsia" w:ascii="宋体" w:hAnsi="宋体"/>
          <w:sz w:val="32"/>
          <w:u w:val="single"/>
          <w:lang w:val="en-US" w:eastAsia="zh-CN"/>
        </w:rPr>
        <w:t>111</w:t>
      </w:r>
      <w:r>
        <w:rPr>
          <w:rFonts w:hint="eastAsia" w:ascii="宋体" w:hAnsi="宋体"/>
          <w:sz w:val="32"/>
          <w:u w:val="single"/>
        </w:rPr>
        <w:t>-20</w:t>
      </w:r>
      <w:r>
        <w:rPr>
          <w:rFonts w:hint="eastAsia" w:ascii="宋体" w:hAnsi="宋体"/>
          <w:sz w:val="32"/>
          <w:u w:val="single"/>
          <w:lang w:val="en-US" w:eastAsia="zh-CN"/>
        </w:rPr>
        <w:t>20</w:t>
      </w:r>
      <w:r>
        <w:rPr>
          <w:rFonts w:hint="eastAsia" w:ascii="宋体" w:hAnsi="宋体"/>
          <w:sz w:val="32"/>
          <w:u w:val="single"/>
        </w:rPr>
        <w:t>-2021</w:t>
      </w:r>
      <w:bookmarkEnd w:id="1"/>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111</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-2021</w:t>
      </w:r>
      <w:bookmarkEnd w:id="2"/>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794"/>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山东禧龙石油装备有限公司</w:t>
            </w:r>
          </w:p>
        </w:tc>
        <w:tc>
          <w:tcPr>
            <w:tcW w:w="179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5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刘婧林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highlight w:val="none"/>
              </w:rPr>
            </w:pPr>
            <w:r>
              <w:rPr>
                <w:rFonts w:hint="eastAsia" w:cs="宋体" w:asciiTheme="minorEastAsia" w:hAnsiTheme="minorEastAsia"/>
                <w:kern w:val="0"/>
                <w:szCs w:val="21"/>
                <w:highlight w:val="none"/>
              </w:rPr>
              <w:t>认证证书编号</w:t>
            </w:r>
          </w:p>
        </w:tc>
        <w:tc>
          <w:tcPr>
            <w:tcW w:w="3119" w:type="dxa"/>
            <w:vAlign w:val="top"/>
          </w:tcPr>
          <w:p>
            <w:pPr>
              <w:tabs>
                <w:tab w:val="left" w:pos="880"/>
              </w:tabs>
              <w:autoSpaceDE w:val="0"/>
              <w:autoSpaceDN w:val="0"/>
              <w:adjustRightInd w:val="0"/>
              <w:spacing w:before="35" w:line="276" w:lineRule="auto"/>
              <w:ind w:right="161" w:rightChars="0"/>
              <w:rPr>
                <w:rFonts w:hint="default" w:cs="宋体" w:asciiTheme="minorEastAsia" w:hAnsiTheme="minorEastAsia" w:eastAsiaTheme="minorEastAsia"/>
                <w:kern w:val="0"/>
                <w:szCs w:val="21"/>
                <w:highlight w:val="none"/>
                <w:lang w:val="en-US" w:eastAsia="zh-CN"/>
              </w:rPr>
            </w:pPr>
            <w:bookmarkStart w:id="3" w:name="监督次数"/>
            <w:bookmarkEnd w:id="3"/>
            <w:r>
              <w:rPr>
                <w:rFonts w:cs="宋体" w:asciiTheme="minorEastAsia" w:hAnsiTheme="minorEastAsia"/>
                <w:kern w:val="0"/>
                <w:szCs w:val="21"/>
                <w:highlight w:val="none"/>
              </w:rPr>
              <w:t>ISC-2020-0</w:t>
            </w:r>
            <w:r>
              <w:rPr>
                <w:rFonts w:hint="eastAsia" w:cs="宋体" w:asciiTheme="minorEastAsia" w:hAnsiTheme="minorEastAsia"/>
                <w:kern w:val="0"/>
                <w:szCs w:val="21"/>
                <w:highlight w:val="none"/>
                <w:lang w:val="en-US" w:eastAsia="zh-CN"/>
              </w:rPr>
              <w:t>733</w:t>
            </w:r>
          </w:p>
        </w:tc>
        <w:tc>
          <w:tcPr>
            <w:tcW w:w="179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highlight w:val="none"/>
              </w:rPr>
            </w:pPr>
            <w:r>
              <w:rPr>
                <w:rFonts w:hint="eastAsia" w:cs="宋体" w:asciiTheme="minorEastAsia" w:hAnsiTheme="minorEastAsia"/>
                <w:kern w:val="0"/>
                <w:szCs w:val="21"/>
                <w:highlight w:val="none"/>
              </w:rPr>
              <w:t>证书有效期</w:t>
            </w:r>
          </w:p>
        </w:tc>
        <w:tc>
          <w:tcPr>
            <w:tcW w:w="2458" w:type="dxa"/>
            <w:vAlign w:val="top"/>
          </w:tcPr>
          <w:p>
            <w:pPr>
              <w:tabs>
                <w:tab w:val="left" w:pos="880"/>
              </w:tabs>
              <w:autoSpaceDE w:val="0"/>
              <w:autoSpaceDN w:val="0"/>
              <w:adjustRightInd w:val="0"/>
              <w:spacing w:before="35" w:line="360" w:lineRule="auto"/>
              <w:ind w:right="161" w:rightChars="0"/>
              <w:rPr>
                <w:rFonts w:hint="default" w:cs="宋体" w:asciiTheme="minorEastAsia" w:hAnsiTheme="minorEastAsia" w:eastAsiaTheme="minorEastAsia"/>
                <w:kern w:val="0"/>
                <w:szCs w:val="21"/>
                <w:highlight w:val="none"/>
                <w:lang w:val="en-US" w:eastAsia="zh-CN"/>
              </w:rPr>
            </w:pPr>
            <w:r>
              <w:rPr>
                <w:rFonts w:cs="宋体" w:asciiTheme="minorEastAsia" w:hAnsiTheme="minorEastAsia"/>
                <w:kern w:val="0"/>
                <w:szCs w:val="21"/>
                <w:highlight w:val="none"/>
              </w:rPr>
              <w:t>2025-0</w:t>
            </w:r>
            <w:r>
              <w:rPr>
                <w:rFonts w:hint="eastAsia" w:cs="宋体" w:asciiTheme="minorEastAsia" w:hAnsiTheme="minorEastAsia"/>
                <w:kern w:val="0"/>
                <w:szCs w:val="21"/>
                <w:highlight w:val="none"/>
                <w:lang w:val="en-US" w:eastAsia="zh-CN"/>
              </w:rPr>
              <w:t>6</w:t>
            </w:r>
            <w:r>
              <w:rPr>
                <w:rFonts w:cs="宋体" w:asciiTheme="minorEastAsia" w:hAnsiTheme="minorEastAsia"/>
                <w:kern w:val="0"/>
                <w:szCs w:val="21"/>
                <w:highlight w:val="none"/>
              </w:rPr>
              <w:t>-</w:t>
            </w:r>
            <w:r>
              <w:rPr>
                <w:rFonts w:hint="eastAsia" w:cs="宋体" w:asciiTheme="minorEastAsia" w:hAnsiTheme="minorEastAsia"/>
                <w:kern w:val="0"/>
                <w:szCs w:val="21"/>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vAlign w:val="top"/>
          </w:tcPr>
          <w:p>
            <w:pPr>
              <w:tabs>
                <w:tab w:val="left" w:pos="880"/>
              </w:tabs>
              <w:autoSpaceDE w:val="0"/>
              <w:autoSpaceDN w:val="0"/>
              <w:adjustRightInd w:val="0"/>
              <w:spacing w:before="35" w:line="276" w:lineRule="auto"/>
              <w:ind w:right="161" w:rightChars="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监督审核次数</w:t>
            </w:r>
          </w:p>
        </w:tc>
        <w:tc>
          <w:tcPr>
            <w:tcW w:w="31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第一次</w:t>
            </w:r>
          </w:p>
        </w:tc>
        <w:tc>
          <w:tcPr>
            <w:tcW w:w="1794" w:type="dxa"/>
            <w:vAlign w:val="top"/>
          </w:tcPr>
          <w:p>
            <w:pPr>
              <w:tabs>
                <w:tab w:val="left" w:pos="880"/>
              </w:tabs>
              <w:autoSpaceDE w:val="0"/>
              <w:autoSpaceDN w:val="0"/>
              <w:adjustRightInd w:val="0"/>
              <w:spacing w:before="35" w:line="276" w:lineRule="auto"/>
              <w:ind w:right="161" w:rightChars="0"/>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58" w:type="dxa"/>
            <w:vAlign w:val="top"/>
          </w:tcPr>
          <w:p>
            <w:pPr>
              <w:tabs>
                <w:tab w:val="left" w:pos="880"/>
              </w:tabs>
              <w:autoSpaceDE w:val="0"/>
              <w:autoSpaceDN w:val="0"/>
              <w:adjustRightInd w:val="0"/>
              <w:spacing w:before="35" w:line="360" w:lineRule="auto"/>
              <w:ind w:right="161" w:rightChars="0"/>
              <w:rPr>
                <w:rFonts w:cs="宋体" w:asciiTheme="minorEastAsia" w:hAnsiTheme="minorEastAsia" w:eastAsiaTheme="minorEastAsia"/>
                <w:kern w:val="0"/>
                <w:sz w:val="21"/>
                <w:szCs w:val="21"/>
                <w:lang w:val="en-US" w:eastAsia="zh-CN" w:bidi="ar-SA"/>
              </w:rPr>
            </w:pPr>
            <w:r>
              <w:rPr>
                <w:rFonts w:cs="宋体" w:asciiTheme="minorEastAsia" w:hAnsiTheme="minorEastAsia"/>
                <w:kern w:val="0"/>
                <w:szCs w:val="21"/>
              </w:rPr>
              <w:t>2021年0</w:t>
            </w:r>
            <w:r>
              <w:rPr>
                <w:rFonts w:hint="eastAsia" w:cs="宋体" w:asciiTheme="minorEastAsia" w:hAnsiTheme="minorEastAsia"/>
                <w:kern w:val="0"/>
                <w:szCs w:val="21"/>
                <w:lang w:val="en-US" w:eastAsia="zh-CN"/>
              </w:rPr>
              <w:t>6</w:t>
            </w:r>
            <w:r>
              <w:rPr>
                <w:rFonts w:cs="宋体" w:asciiTheme="minorEastAsia" w:hAnsiTheme="minorEastAsia"/>
                <w:kern w:val="0"/>
                <w:szCs w:val="21"/>
              </w:rPr>
              <w:t>月</w:t>
            </w:r>
            <w:r>
              <w:rPr>
                <w:rFonts w:hint="eastAsia" w:cs="宋体" w:asciiTheme="minorEastAsia" w:hAnsiTheme="minorEastAsia"/>
                <w:kern w:val="0"/>
                <w:szCs w:val="21"/>
                <w:lang w:val="en-US" w:eastAsia="zh-CN"/>
              </w:rPr>
              <w:t>24</w:t>
            </w:r>
            <w:r>
              <w:rPr>
                <w:rFonts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center"/>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lang w:eastAsia="zh-CN"/>
              </w:rPr>
              <w:t>姜丽</w:t>
            </w:r>
            <w:r>
              <w:rPr>
                <w:rFonts w:hint="eastAsia" w:cs="宋体" w:asciiTheme="minorEastAsia" w:hAnsiTheme="minorEastAsia"/>
                <w:kern w:val="0"/>
                <w:szCs w:val="21"/>
                <w:lang w:val="en-US" w:eastAsia="zh-CN"/>
              </w:rPr>
              <w:t xml:space="preserve">  </w:t>
            </w:r>
            <w:r>
              <w:rPr>
                <w:rFonts w:ascii="宋体" w:hAnsi="宋体" w:eastAsia="宋体" w:cs="Times New Roman"/>
                <w:color w:val="000000"/>
                <w:szCs w:val="21"/>
              </w:rPr>
              <w:t>2021-M1MMS-2274284</w:t>
            </w:r>
          </w:p>
          <w:p>
            <w:pPr>
              <w:tabs>
                <w:tab w:val="left" w:pos="880"/>
              </w:tabs>
              <w:autoSpaceDE w:val="0"/>
              <w:autoSpaceDN w:val="0"/>
              <w:adjustRightInd w:val="0"/>
              <w:spacing w:before="35" w:line="276" w:lineRule="auto"/>
              <w:ind w:right="161"/>
              <w:jc w:val="left"/>
              <w:rPr>
                <w:rFonts w:asciiTheme="minorHAnsi" w:hAnsiTheme="minorHAnsi" w:eastAsiaTheme="minorEastAsia" w:cstheme="minorBidi"/>
                <w:color w:val="000000"/>
                <w:kern w:val="2"/>
                <w:sz w:val="21"/>
                <w:szCs w:val="21"/>
                <w:shd w:val="pct10" w:color="auto" w:fill="FFFFFF"/>
                <w:lang w:val="en-US" w:eastAsia="zh-CN" w:bidi="ar-SA"/>
              </w:rPr>
            </w:pPr>
          </w:p>
        </w:tc>
        <w:tc>
          <w:tcPr>
            <w:tcW w:w="1794" w:type="dxa"/>
            <w:vAlign w:val="center"/>
          </w:tcPr>
          <w:p>
            <w:pPr>
              <w:spacing w:line="240" w:lineRule="exact"/>
              <w:jc w:val="center"/>
              <w:rPr>
                <w:rFonts w:asciiTheme="minorHAnsi" w:hAnsiTheme="minorHAnsi" w:eastAsiaTheme="minorEastAsia" w:cstheme="minorBidi"/>
                <w:color w:val="000000"/>
                <w:kern w:val="2"/>
                <w:sz w:val="21"/>
                <w:szCs w:val="21"/>
                <w:lang w:val="en-US" w:eastAsia="zh-CN" w:bidi="ar-SA"/>
              </w:rPr>
            </w:pPr>
            <w:r>
              <w:rPr>
                <w:rFonts w:cs="宋体" w:asciiTheme="minorEastAsia" w:hAnsiTheme="minorEastAsia"/>
                <w:bCs/>
                <w:kern w:val="0"/>
                <w:szCs w:val="21"/>
              </w:rPr>
              <w:t>监督审核涉及的区域或部门</w:t>
            </w:r>
          </w:p>
        </w:tc>
        <w:tc>
          <w:tcPr>
            <w:tcW w:w="2458" w:type="dxa"/>
          </w:tcPr>
          <w:p>
            <w:pPr>
              <w:jc w:val="both"/>
              <w:rPr>
                <w:rFonts w:cs="宋体" w:asciiTheme="minorEastAsia" w:hAnsiTheme="minorEastAsia"/>
                <w:kern w:val="0"/>
                <w:szCs w:val="21"/>
              </w:rPr>
            </w:pPr>
            <w:r>
              <w:rPr>
                <w:rFonts w:hint="eastAsia" w:ascii="宋体" w:hAnsi="宋体" w:cs="宋体"/>
                <w:kern w:val="0"/>
                <w:szCs w:val="21"/>
                <w:lang w:eastAsia="zh-CN"/>
              </w:rPr>
              <w:t>质检科、市场部、综合部、生产部（下属一个生产车间）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一年内，公司日常运行中生产、经营、安全、销售及管理方面，比去年都有</w:t>
      </w:r>
      <w:r>
        <w:rPr>
          <w:rFonts w:hint="eastAsia" w:ascii="宋体" w:hAnsi="宋体" w:cs="宋体"/>
          <w:bCs/>
          <w:kern w:val="0"/>
          <w:szCs w:val="21"/>
          <w:lang w:val="en-US" w:eastAsia="zh-CN"/>
        </w:rPr>
        <w:t>很大的</w:t>
      </w:r>
      <w:r>
        <w:rPr>
          <w:rFonts w:hint="eastAsia" w:ascii="宋体" w:hAnsi="宋体" w:cs="宋体"/>
          <w:bCs/>
          <w:kern w:val="0"/>
          <w:szCs w:val="21"/>
        </w:rPr>
        <w:t>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w:t>
      </w:r>
      <w:r>
        <w:rPr>
          <w:rFonts w:hint="eastAsia" w:ascii="宋体" w:hAnsi="宋体" w:cs="宋体"/>
          <w:bCs/>
          <w:kern w:val="0"/>
          <w:szCs w:val="21"/>
          <w:lang w:eastAsia="zh-CN"/>
        </w:rPr>
        <w:t>运行认证</w:t>
      </w:r>
      <w:r>
        <w:rPr>
          <w:rFonts w:hint="eastAsia" w:ascii="宋体" w:hAnsi="宋体" w:cs="宋体"/>
          <w:bCs/>
          <w:kern w:val="0"/>
          <w:szCs w:val="21"/>
        </w:rPr>
        <w:t>后一年以来</w:t>
      </w:r>
      <w:r>
        <w:rPr>
          <w:rFonts w:hint="eastAsia" w:ascii="宋体" w:hAnsi="宋体" w:cs="宋体"/>
          <w:bCs/>
          <w:kern w:val="0"/>
          <w:szCs w:val="21"/>
          <w:lang w:val="en-US" w:eastAsia="zh-CN"/>
        </w:rPr>
        <w:t>的</w:t>
      </w:r>
      <w:r>
        <w:rPr>
          <w:rFonts w:hint="eastAsia" w:ascii="宋体" w:hAnsi="宋体" w:cs="宋体"/>
          <w:bCs/>
          <w:kern w:val="0"/>
          <w:szCs w:val="21"/>
        </w:rPr>
        <w:t>运行情况，在</w:t>
      </w:r>
      <w:r>
        <w:rPr>
          <w:rFonts w:hint="eastAsia" w:ascii="宋体" w:hAnsi="宋体"/>
          <w:szCs w:val="21"/>
          <w:lang w:eastAsia="zh-CN"/>
        </w:rPr>
        <w:t>山东禧龙石油装备有限公司</w:t>
      </w:r>
      <w:r>
        <w:rPr>
          <w:rFonts w:hint="eastAsia" w:ascii="宋体" w:hAnsi="宋体" w:cs="宋体"/>
          <w:bCs/>
          <w:kern w:val="0"/>
          <w:szCs w:val="21"/>
        </w:rPr>
        <w:t>现场审核中，审核组抽样检查了涉及公司测量体系内的管理、生产、经营、质量和安全等方面的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eastAsia="zh-CN"/>
        </w:rPr>
        <w:t>生产车间</w:t>
      </w:r>
      <w:r>
        <w:rPr>
          <w:rFonts w:hint="eastAsia" w:ascii="宋体" w:hAnsi="宋体" w:cs="宋体"/>
          <w:bCs/>
          <w:kern w:val="0"/>
          <w:szCs w:val="21"/>
        </w:rPr>
        <w:t>。重点核查环节有：原材料进厂检测、产品质量性能检验、出厂产品质量检测主要生产过程的测量控制、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3.1公司的测量</w:t>
      </w:r>
      <w:r>
        <w:rPr>
          <w:rFonts w:hint="eastAsia" w:ascii="宋体" w:hAnsi="宋体" w:cs="宋体"/>
          <w:bCs/>
          <w:kern w:val="0"/>
          <w:szCs w:val="21"/>
          <w:lang w:val="en-US" w:eastAsia="zh-CN"/>
        </w:rPr>
        <w:t>管理</w:t>
      </w:r>
      <w:r>
        <w:rPr>
          <w:rFonts w:hint="eastAsia" w:ascii="宋体" w:hAnsi="宋体" w:cs="宋体"/>
          <w:bCs/>
          <w:kern w:val="0"/>
          <w:szCs w:val="21"/>
        </w:rPr>
        <w:t>体系内审：</w:t>
      </w:r>
    </w:p>
    <w:p>
      <w:pPr>
        <w:widowControl/>
        <w:spacing w:line="360" w:lineRule="auto"/>
        <w:ind w:firstLine="420" w:firstLineChars="200"/>
        <w:rPr>
          <w:rFonts w:hint="eastAsia" w:ascii="宋体" w:hAnsi="宋体" w:eastAsia="宋体" w:cs="宋体"/>
          <w:bCs/>
          <w:kern w:val="0"/>
          <w:szCs w:val="21"/>
          <w:lang w:eastAsia="zh-CN"/>
        </w:rPr>
      </w:pP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21</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15</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刘婧琳</w:t>
      </w:r>
      <w:r>
        <w:rPr>
          <w:rFonts w:hint="eastAsia" w:ascii="宋体" w:hAnsi="宋体" w:cs="宋体"/>
          <w:bCs/>
          <w:kern w:val="0"/>
          <w:szCs w:val="21"/>
        </w:rPr>
        <w:t>任组长参与审核。内审组对公司包括管理层在内的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部门及</w:t>
      </w:r>
      <w:r>
        <w:rPr>
          <w:rFonts w:hint="eastAsia" w:ascii="宋体" w:hAnsi="宋体" w:cs="宋体"/>
          <w:kern w:val="0"/>
          <w:szCs w:val="21"/>
          <w:lang w:eastAsia="zh-CN"/>
        </w:rPr>
        <w:t>作业区</w:t>
      </w:r>
      <w:r>
        <w:rPr>
          <w:rFonts w:hint="eastAsia" w:ascii="宋体" w:hAnsi="宋体" w:cs="宋体"/>
          <w:bCs/>
          <w:kern w:val="0"/>
          <w:szCs w:val="21"/>
        </w:rPr>
        <w:t>进行了全要素的审核。内部审核发现1个不符合项，制定了相关的预防纠正措施，并在规定时间内，完成整改工作，不符合项已关闭。</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21</w:t>
      </w:r>
      <w:r>
        <w:rPr>
          <w:rFonts w:hint="eastAsia" w:ascii="宋体" w:hAnsi="宋体" w:cs="宋体"/>
          <w:bCs/>
          <w:kern w:val="0"/>
          <w:szCs w:val="21"/>
        </w:rPr>
        <w:t>年</w:t>
      </w:r>
      <w:r>
        <w:rPr>
          <w:rFonts w:hint="eastAsia" w:ascii="宋体" w:hAnsi="宋体" w:cs="宋体"/>
          <w:bCs/>
          <w:kern w:val="0"/>
          <w:szCs w:val="21"/>
          <w:lang w:val="en-US" w:eastAsia="zh-CN"/>
        </w:rPr>
        <w:t>6</w:t>
      </w:r>
      <w:r>
        <w:rPr>
          <w:rFonts w:hint="eastAsia" w:ascii="宋体" w:hAnsi="宋体" w:cs="宋体"/>
          <w:bCs/>
          <w:kern w:val="0"/>
          <w:szCs w:val="21"/>
        </w:rPr>
        <w:t>月</w:t>
      </w:r>
      <w:r>
        <w:rPr>
          <w:rFonts w:hint="eastAsia" w:ascii="宋体" w:hAnsi="宋体" w:cs="宋体"/>
          <w:bCs/>
          <w:kern w:val="0"/>
          <w:szCs w:val="21"/>
          <w:lang w:val="en-US" w:eastAsia="zh-CN"/>
        </w:rPr>
        <w:t>12</w:t>
      </w:r>
      <w:r>
        <w:rPr>
          <w:rFonts w:hint="eastAsia" w:ascii="宋体" w:hAnsi="宋体" w:cs="宋体"/>
          <w:bCs/>
          <w:kern w:val="0"/>
          <w:szCs w:val="21"/>
        </w:rPr>
        <w:t>日，开展了测量体系管理评审，</w:t>
      </w:r>
      <w:r>
        <w:rPr>
          <w:bCs/>
          <w:szCs w:val="21"/>
        </w:rPr>
        <w:t>会议由企业总经理</w:t>
      </w:r>
      <w:r>
        <w:rPr>
          <w:rFonts w:hint="eastAsia"/>
          <w:bCs/>
          <w:szCs w:val="21"/>
          <w:lang w:eastAsia="zh-CN"/>
        </w:rPr>
        <w:t>万骏</w:t>
      </w:r>
      <w:r>
        <w:rPr>
          <w:szCs w:val="21"/>
        </w:rPr>
        <w:t>主持</w:t>
      </w:r>
      <w:r>
        <w:rPr>
          <w:bCs/>
          <w:szCs w:val="21"/>
        </w:rPr>
        <w:t>、</w:t>
      </w:r>
      <w:r>
        <w:rPr>
          <w:szCs w:val="21"/>
        </w:rPr>
        <w:t>管理者代表</w:t>
      </w:r>
      <w:r>
        <w:rPr>
          <w:rFonts w:hint="eastAsia"/>
          <w:szCs w:val="21"/>
          <w:lang w:eastAsia="zh-CN"/>
        </w:rPr>
        <w:t>刘婧琳</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snapToGrid w:val="0"/>
        <w:spacing w:line="360" w:lineRule="auto"/>
        <w:rPr>
          <w:rFonts w:hint="eastAsia" w:ascii="宋体" w:hAnsi="宋体" w:cs="黑体"/>
          <w:szCs w:val="21"/>
        </w:rPr>
      </w:pPr>
      <w:r>
        <w:rPr>
          <w:rFonts w:ascii="宋体" w:hAnsi="宋体" w:cs="宋体"/>
          <w:bCs/>
          <w:kern w:val="0"/>
          <w:szCs w:val="21"/>
        </w:rPr>
        <w:t xml:space="preserve">4.1 </w:t>
      </w:r>
      <w:r>
        <w:rPr>
          <w:rFonts w:hint="eastAsia"/>
          <w:szCs w:val="21"/>
        </w:rPr>
        <w:t>该企业主要是</w:t>
      </w:r>
      <w:r>
        <w:rPr>
          <w:rFonts w:hint="eastAsia"/>
          <w:szCs w:val="21"/>
          <w:lang w:eastAsia="zh-CN"/>
        </w:rPr>
        <w:t>：</w:t>
      </w:r>
      <w:bookmarkStart w:id="4" w:name="审核范围"/>
      <w:r>
        <w:rPr>
          <w:color w:val="000000"/>
          <w:szCs w:val="21"/>
        </w:rPr>
        <w:t>石油机械设备和配件（抽油机配件、修井设备配件、通井机配件、油管杆自动清洗线、打捞矛及配件、泵及泵配件、安全接头及配件）的生产和销售；水处理设备（工业污水处理装置）的生产和销售；特种设备、仪器仪表及配件、自动化设备、防爆电器及配件、电力金具、日用电器、照明灯具、计量装置、工矿设备及配件、消防设备、节能环保设备、柴油机配件、劳保用品、电器元件、普通机械、机电产品、五金、日用百货、办公用品、汽车配件、电线电缆及附件、建材、家具、水泥制品、装饰材料、滤芯、胶管、水处理材料、泥浆材料、钢材、管件、化工产品（不包含危险品及易制毒化学品）的销售</w:t>
      </w:r>
      <w:bookmarkEnd w:id="4"/>
      <w:r>
        <w:rPr>
          <w:color w:val="000000"/>
          <w:szCs w:val="21"/>
        </w:rPr>
        <w:t>等</w:t>
      </w:r>
      <w:r>
        <w:rPr>
          <w:rFonts w:hint="eastAsia" w:ascii="宋体" w:hAnsi="宋体"/>
          <w:szCs w:val="21"/>
          <w:lang w:eastAsia="zh-CN"/>
        </w:rPr>
        <w:t>。</w:t>
      </w:r>
      <w:r>
        <w:rPr>
          <w:rFonts w:hint="eastAsia"/>
          <w:color w:val="000000"/>
          <w:szCs w:val="21"/>
          <w:lang w:eastAsia="zh-CN"/>
        </w:rPr>
        <w:t>质检科</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ascii="Times New Roman" w:hAnsi="Times New Roman"/>
          <w:kern w:val="0"/>
          <w:szCs w:val="21"/>
        </w:rPr>
        <w:t>“</w:t>
      </w:r>
      <w:r>
        <w:rPr>
          <w:rFonts w:hint="eastAsia" w:ascii="宋体" w:hAnsi="宋体" w:cs="黑体"/>
          <w:szCs w:val="21"/>
        </w:rPr>
        <w:t>验证结果和验证人。最近的检定日期全部在有效期内。验证结果均为合格。</w:t>
      </w:r>
    </w:p>
    <w:p>
      <w:pPr>
        <w:spacing w:line="360" w:lineRule="auto"/>
        <w:jc w:val="left"/>
        <w:rPr>
          <w:rFonts w:ascii="宋体" w:cs="宋体"/>
          <w:bCs/>
          <w:kern w:val="0"/>
          <w:szCs w:val="21"/>
        </w:rPr>
      </w:pPr>
      <w:r>
        <w:rPr>
          <w:rFonts w:hint="eastAsia" w:ascii="宋体" w:hAnsi="宋体" w:cs="黑体"/>
          <w:szCs w:val="21"/>
        </w:rPr>
        <w:t>12.3.3、企业对</w:t>
      </w:r>
      <w:r>
        <w:rPr>
          <w:rFonts w:hint="eastAsia" w:ascii="Times New Roman" w:hAnsi="Times New Roman" w:eastAsia="宋体" w:cs="Times New Roman"/>
          <w:sz w:val="21"/>
          <w:szCs w:val="21"/>
          <w:lang w:val="en-US" w:eastAsia="zh-CN"/>
        </w:rPr>
        <w:t>减速机从动轴键槽深度测量、</w:t>
      </w:r>
      <w:r>
        <w:rPr>
          <w:rFonts w:hint="eastAsia"/>
          <w:color w:val="000000"/>
          <w:szCs w:val="21"/>
        </w:rPr>
        <w:t>打捞矛配件-上接头</w:t>
      </w:r>
      <w:r>
        <w:rPr>
          <w:rFonts w:hint="eastAsia"/>
          <w:color w:val="000000"/>
          <w:szCs w:val="21"/>
          <w:lang w:eastAsia="zh-CN"/>
        </w:rPr>
        <w:t>端面的硬度检测</w:t>
      </w:r>
      <w:r>
        <w:rPr>
          <w:color w:val="000000"/>
          <w:szCs w:val="21"/>
        </w:rPr>
        <w:t xml:space="preserve"> 、</w:t>
      </w:r>
      <w:r>
        <w:rPr>
          <w:rFonts w:hint="eastAsia"/>
          <w:color w:val="000000"/>
          <w:szCs w:val="21"/>
        </w:rPr>
        <w:t>汽车配件-东风153弯臂钻孔尺寸</w:t>
      </w:r>
      <w:r>
        <w:rPr>
          <w:color w:val="000000"/>
          <w:szCs w:val="21"/>
        </w:rPr>
        <w:t>、</w:t>
      </w:r>
      <w:r>
        <w:rPr>
          <w:rFonts w:hint="eastAsia"/>
          <w:color w:val="000000"/>
          <w:szCs w:val="21"/>
        </w:rPr>
        <w:t>汽车配件-牌照托盘板油漆厚度</w:t>
      </w:r>
      <w:r>
        <w:rPr>
          <w:rFonts w:hint="eastAsia"/>
          <w:color w:val="000000"/>
          <w:szCs w:val="21"/>
          <w:lang w:eastAsia="zh-CN"/>
        </w:rPr>
        <w:t>测量</w:t>
      </w:r>
      <w:r>
        <w:rPr>
          <w:rFonts w:hint="eastAsia" w:ascii="宋体" w:hAnsi="宋体" w:eastAsia="宋体" w:cs="宋体"/>
          <w:snapToGrid w:val="0"/>
          <w:color w:val="000000"/>
          <w:kern w:val="0"/>
          <w:szCs w:val="21"/>
          <w:highlight w:val="none"/>
          <w:lang w:eastAsia="zh-CN"/>
        </w:rPr>
        <w:t>等</w:t>
      </w:r>
      <w:r>
        <w:rPr>
          <w:rFonts w:hint="eastAsia" w:ascii="宋体" w:hAnsi="宋体" w:eastAsia="宋体" w:cs="宋体"/>
          <w:snapToGrid w:val="0"/>
          <w:color w:val="000000"/>
          <w:kern w:val="0"/>
          <w:szCs w:val="21"/>
          <w:highlight w:val="none"/>
          <w:lang w:val="en-US" w:eastAsia="zh-CN"/>
        </w:rPr>
        <w:t>11</w:t>
      </w:r>
      <w:r>
        <w:rPr>
          <w:rFonts w:hint="eastAsia" w:ascii="宋体" w:hAnsi="宋体" w:cs="宋体"/>
          <w:kern w:val="0"/>
          <w:szCs w:val="21"/>
          <w:highlight w:val="none"/>
          <w:lang w:val="en-US" w:eastAsia="zh-CN"/>
        </w:rPr>
        <w:t>个关键测量过程</w:t>
      </w:r>
      <w:r>
        <w:rPr>
          <w:rFonts w:hint="eastAsia" w:ascii="宋体" w:hAnsi="宋体" w:cs="宋体"/>
          <w:kern w:val="0"/>
          <w:szCs w:val="21"/>
          <w:lang w:val="en-US" w:eastAsia="zh-CN"/>
        </w:rPr>
        <w:t>，</w:t>
      </w:r>
      <w:r>
        <w:rPr>
          <w:rFonts w:hint="eastAsia" w:ascii="宋体" w:hAnsi="宋体" w:cs="宋体"/>
          <w:bCs/>
          <w:kern w:val="0"/>
          <w:szCs w:val="21"/>
          <w:lang w:eastAsia="zh-CN"/>
        </w:rPr>
        <w:t>没有增加新的测量过程；</w:t>
      </w:r>
      <w:r>
        <w:rPr>
          <w:rFonts w:hint="eastAsia" w:ascii="宋体" w:hAnsi="宋体" w:cs="宋体"/>
          <w:bCs/>
          <w:kern w:val="0"/>
          <w:szCs w:val="21"/>
        </w:rPr>
        <w:t>“</w:t>
      </w:r>
      <w:r>
        <w:rPr>
          <w:rFonts w:hint="eastAsia" w:ascii="Times New Roman" w:hAnsi="Times New Roman" w:eastAsia="宋体" w:cs="Times New Roman"/>
          <w:sz w:val="21"/>
          <w:szCs w:val="21"/>
          <w:lang w:val="en-US" w:eastAsia="zh-CN"/>
        </w:rPr>
        <w:t>减速机从动轴键槽深度测量</w:t>
      </w:r>
      <w:r>
        <w:rPr>
          <w:rFonts w:hint="eastAsia" w:ascii="宋体" w:hAnsi="宋体" w:eastAsia="宋体" w:cs="宋体"/>
          <w:szCs w:val="21"/>
        </w:rPr>
        <w:t>过程</w:t>
      </w:r>
      <w:r>
        <w:rPr>
          <w:rFonts w:hint="eastAsia" w:ascii="宋体" w:hAnsi="宋体" w:cs="宋体"/>
          <w:bCs/>
          <w:kern w:val="0"/>
          <w:szCs w:val="21"/>
        </w:rPr>
        <w:t>”为</w:t>
      </w:r>
      <w:r>
        <w:rPr>
          <w:rFonts w:hint="eastAsia" w:ascii="宋体" w:hAnsi="宋体" w:cs="宋体"/>
          <w:bCs/>
          <w:kern w:val="0"/>
          <w:szCs w:val="21"/>
          <w:lang w:eastAsia="zh-CN"/>
        </w:rPr>
        <w:t>高度</w:t>
      </w:r>
      <w:r>
        <w:rPr>
          <w:rFonts w:hint="eastAsia" w:ascii="宋体" w:hAnsi="宋体" w:cs="宋体"/>
          <w:bCs/>
          <w:kern w:val="0"/>
          <w:szCs w:val="21"/>
        </w:rPr>
        <w:t>测量过程。企业分别对测量过程的测量要素，从重要性、技术要求、配备测量设备名称、测量范围、允许误差（测量不确定度）、环境条件、操作人员资质、测量频次、监视方法等方面，予以有效控制和识别。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ascii="Times New Roman" w:hAnsi="Times New Roman" w:cs="Times New Roman"/>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w:t>
      </w:r>
      <w:r>
        <w:rPr>
          <w:rFonts w:hint="eastAsia" w:ascii="宋体" w:hAnsi="宋体" w:cs="宋体"/>
          <w:bCs/>
          <w:color w:val="auto"/>
          <w:kern w:val="0"/>
          <w:szCs w:val="21"/>
        </w:rPr>
        <w:t>细表》，对</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台件测量设</w:t>
      </w:r>
      <w:r>
        <w:rPr>
          <w:rFonts w:hint="eastAsia" w:ascii="宋体" w:hAnsi="宋体" w:cs="宋体"/>
          <w:bCs/>
          <w:kern w:val="0"/>
          <w:szCs w:val="21"/>
        </w:rPr>
        <w:t>备器具进行了计量确认和验证。全部在有效期内，验证结果均为合格。关键测量过程：“</w:t>
      </w:r>
      <w:r>
        <w:rPr>
          <w:rFonts w:hint="eastAsia" w:ascii="Times New Roman" w:hAnsi="Times New Roman" w:eastAsia="宋体" w:cs="Times New Roman"/>
          <w:sz w:val="21"/>
          <w:szCs w:val="21"/>
          <w:lang w:val="en-US" w:eastAsia="zh-CN"/>
        </w:rPr>
        <w:t>减速机从动轴键槽深度测量</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ascii="Times New Roman" w:hAnsi="Times New Roman" w:eastAsia="宋体" w:cs="Times New Roman"/>
          <w:sz w:val="21"/>
          <w:szCs w:val="21"/>
          <w:lang w:val="en-US" w:eastAsia="zh-CN"/>
        </w:rPr>
        <w:t>减速机从动轴键槽深度</w:t>
      </w:r>
      <w:r>
        <w:rPr>
          <w:rFonts w:hint="eastAsia" w:ascii="宋体" w:hAnsi="宋体" w:cs="黑体"/>
          <w:color w:val="auto"/>
          <w:szCs w:val="21"/>
          <w:highlight w:val="none"/>
          <w:lang w:eastAsia="zh-CN"/>
        </w:rPr>
        <w:t>测量</w:t>
      </w:r>
      <w:r>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Times New Roman" w:hAnsi="Times New Roman" w:eastAsia="宋体" w:cs="Times New Roman"/>
          <w:sz w:val="21"/>
          <w:szCs w:val="21"/>
          <w:lang w:val="en-US" w:eastAsia="zh-CN"/>
        </w:rPr>
        <w:t>减速机从动轴键槽深度测量</w:t>
      </w:r>
      <w:r>
        <w:rPr>
          <w:rFonts w:hint="eastAsia" w:ascii="Times New Roman" w:hAnsi="Times New Roman"/>
          <w:sz w:val="21"/>
          <w:szCs w:val="21"/>
        </w:rPr>
        <w:t>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Times New Roman" w:hAnsi="Times New Roman" w:eastAsia="宋体" w:cs="Times New Roman"/>
          <w:sz w:val="21"/>
          <w:szCs w:val="21"/>
          <w:lang w:val="en-US" w:eastAsia="zh-CN"/>
        </w:rPr>
        <w:t>减速机从动轴键槽深度测量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snapToGrid w:val="0"/>
        <w:spacing w:line="460" w:lineRule="exact"/>
        <w:rPr>
          <w:rFonts w:hint="eastAsia" w:ascii="宋体" w:hAnsi="宋体" w:cs="宋体"/>
          <w:bCs/>
          <w:kern w:val="0"/>
          <w:szCs w:val="21"/>
          <w:lang w:eastAsia="zh-CN"/>
        </w:rPr>
      </w:pPr>
      <w:r>
        <w:rPr>
          <w:rFonts w:ascii="宋体" w:hAnsi="宋体" w:cs="宋体"/>
          <w:bCs/>
          <w:kern w:val="0"/>
          <w:szCs w:val="21"/>
        </w:rPr>
        <w:t>5.</w:t>
      </w:r>
      <w:r>
        <w:rPr>
          <w:rFonts w:hint="eastAsia" w:ascii="宋体" w:hAnsi="宋体" w:cs="宋体"/>
          <w:bCs/>
          <w:kern w:val="0"/>
          <w:szCs w:val="21"/>
        </w:rPr>
        <w:t>对</w:t>
      </w:r>
      <w:r>
        <w:rPr>
          <w:rFonts w:hint="eastAsia" w:ascii="宋体" w:hAnsi="宋体" w:cs="宋体"/>
          <w:bCs/>
          <w:kern w:val="0"/>
          <w:szCs w:val="21"/>
          <w:lang w:eastAsia="zh-CN"/>
        </w:rPr>
        <w:t>上次认证</w:t>
      </w:r>
      <w:r>
        <w:rPr>
          <w:rFonts w:hint="eastAsia" w:ascii="宋体" w:hAnsi="宋体" w:cs="宋体"/>
          <w:bCs/>
          <w:kern w:val="0"/>
          <w:szCs w:val="21"/>
        </w:rPr>
        <w:t>审核时</w:t>
      </w:r>
      <w:r>
        <w:rPr>
          <w:rFonts w:hint="eastAsia" w:ascii="宋体" w:hAnsi="宋体" w:cs="宋体"/>
          <w:bCs/>
          <w:kern w:val="0"/>
          <w:szCs w:val="21"/>
          <w:lang w:eastAsia="zh-CN"/>
        </w:rPr>
        <w:t>（现场补审时）</w:t>
      </w:r>
      <w:r>
        <w:rPr>
          <w:rFonts w:hint="eastAsia" w:ascii="宋体" w:hAnsi="宋体" w:cs="宋体"/>
          <w:bCs/>
          <w:kern w:val="0"/>
          <w:szCs w:val="21"/>
        </w:rPr>
        <w:t>提出的不符合项的纠正措施情况：</w:t>
      </w:r>
    </w:p>
    <w:p>
      <w:pPr>
        <w:snapToGrid w:val="0"/>
        <w:spacing w:line="460" w:lineRule="exact"/>
        <w:ind w:firstLine="420" w:firstLineChars="200"/>
        <w:rPr>
          <w:rFonts w:ascii="宋体" w:hAnsi="宋体" w:cs="宋体"/>
          <w:kern w:val="0"/>
          <w:szCs w:val="21"/>
        </w:rPr>
      </w:pPr>
      <w:r>
        <w:rPr>
          <w:rFonts w:hint="eastAsia" w:ascii="宋体" w:hAnsi="宋体"/>
          <w:b w:val="0"/>
          <w:bCs/>
          <w:szCs w:val="21"/>
        </w:rPr>
        <w:t>公司</w:t>
      </w:r>
      <w:r>
        <w:rPr>
          <w:rFonts w:hint="eastAsia" w:ascii="宋体" w:hAnsi="宋体"/>
          <w:b w:val="0"/>
          <w:bCs/>
          <w:sz w:val="21"/>
          <w:szCs w:val="21"/>
        </w:rPr>
        <w:t>对上年度</w:t>
      </w:r>
      <w:r>
        <w:rPr>
          <w:rFonts w:hint="eastAsia" w:ascii="宋体" w:hAnsi="宋体"/>
          <w:b w:val="0"/>
          <w:bCs/>
          <w:sz w:val="21"/>
          <w:szCs w:val="21"/>
          <w:lang w:eastAsia="zh-CN"/>
        </w:rPr>
        <w:t>认证</w:t>
      </w:r>
      <w:r>
        <w:rPr>
          <w:rFonts w:hint="eastAsia" w:ascii="宋体" w:hAnsi="宋体"/>
          <w:b w:val="0"/>
          <w:bCs/>
          <w:sz w:val="21"/>
          <w:szCs w:val="21"/>
        </w:rPr>
        <w:t>审核中的</w:t>
      </w:r>
      <w:r>
        <w:rPr>
          <w:rFonts w:hint="eastAsia" w:ascii="宋体" w:hAnsi="宋体"/>
          <w:b w:val="0"/>
          <w:bCs/>
          <w:sz w:val="21"/>
          <w:szCs w:val="21"/>
          <w:lang w:val="en-US" w:eastAsia="zh-CN"/>
        </w:rPr>
        <w:t>1</w:t>
      </w:r>
      <w:r>
        <w:rPr>
          <w:rFonts w:hint="eastAsia" w:ascii="宋体" w:hAnsi="宋体"/>
          <w:b w:val="0"/>
          <w:bCs/>
          <w:sz w:val="21"/>
          <w:szCs w:val="21"/>
        </w:rPr>
        <w:t>个不符合项，及时制定整改计划，采取了如下纠正措施：已对开出的不符合项：</w:t>
      </w:r>
      <w:bookmarkStart w:id="5" w:name="_Hlk29977309"/>
      <w:r>
        <w:rPr>
          <w:rFonts w:hint="eastAsia" w:ascii="宋体" w:hAnsi="宋体"/>
          <w:b w:val="0"/>
          <w:bCs/>
          <w:sz w:val="21"/>
          <w:szCs w:val="21"/>
          <w:lang w:val="en-US" w:eastAsia="zh-CN"/>
        </w:rPr>
        <w:t>1</w:t>
      </w:r>
      <w:bookmarkEnd w:id="5"/>
      <w:r>
        <w:rPr>
          <w:rFonts w:hint="eastAsia" w:ascii="宋体" w:hAnsi="宋体" w:cs="宋体"/>
          <w:kern w:val="0"/>
          <w:szCs w:val="21"/>
          <w:lang w:eastAsia="zh-CN"/>
        </w:rPr>
        <w:t>在生产车间发现一台编号：</w:t>
      </w:r>
      <w:r>
        <w:rPr>
          <w:rFonts w:hint="eastAsia" w:ascii="宋体" w:hAnsi="宋体" w:cs="宋体"/>
          <w:kern w:val="0"/>
          <w:szCs w:val="21"/>
          <w:lang w:val="en-US" w:eastAsia="zh-CN"/>
        </w:rPr>
        <w:t>XLSY-14</w:t>
      </w:r>
      <w:r>
        <w:rPr>
          <w:rFonts w:hint="eastAsia" w:ascii="宋体" w:hAnsi="宋体" w:cs="宋体"/>
          <w:kern w:val="0"/>
          <w:szCs w:val="21"/>
          <w:lang w:eastAsia="zh-CN"/>
        </w:rPr>
        <w:t>液压式万能试验机安装在生产车间中使用，</w:t>
      </w: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GB</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T</w:t>
      </w:r>
      <w:r>
        <w:rPr>
          <w:rFonts w:cs="宋体" w:asciiTheme="minorEastAsia" w:hAnsiTheme="minorEastAsia" w:eastAsiaTheme="minorEastAsia"/>
          <w:kern w:val="0"/>
          <w:szCs w:val="21"/>
        </w:rPr>
        <w:t>19022-2003</w:t>
      </w:r>
      <w:r>
        <w:rPr>
          <w:rFonts w:hint="eastAsia" w:cs="宋体" w:asciiTheme="minorEastAsia" w:hAnsiTheme="minorEastAsia" w:eastAsiaTheme="minorEastAsia"/>
          <w:kern w:val="0"/>
          <w:szCs w:val="21"/>
          <w:lang w:eastAsia="zh-CN"/>
        </w:rPr>
        <w:t>标准</w:t>
      </w:r>
      <w:r>
        <w:rPr>
          <w:rFonts w:hint="eastAsia" w:cs="宋体" w:asciiTheme="minorEastAsia" w:hAnsiTheme="minorEastAsia" w:eastAsiaTheme="minorEastAsia"/>
          <w:kern w:val="0"/>
          <w:szCs w:val="21"/>
          <w:lang w:val="en-US" w:eastAsia="zh-CN"/>
        </w:rPr>
        <w:t>6.3</w:t>
      </w:r>
      <w:r>
        <w:rPr>
          <w:rFonts w:hint="eastAsia" w:ascii="宋体" w:hAnsi="宋体" w:cs="宋体"/>
          <w:kern w:val="0"/>
          <w:szCs w:val="21"/>
        </w:rPr>
        <w:t>.</w:t>
      </w:r>
      <w:r>
        <w:rPr>
          <w:rFonts w:hint="eastAsia" w:ascii="宋体" w:hAnsi="宋体" w:cs="宋体"/>
          <w:kern w:val="0"/>
          <w:szCs w:val="21"/>
          <w:lang w:val="en-US" w:eastAsia="zh-CN"/>
        </w:rPr>
        <w:t>1测量设备</w:t>
      </w:r>
      <w:r>
        <w:rPr>
          <w:rFonts w:hint="eastAsia" w:ascii="宋体" w:hAnsi="宋体" w:cs="宋体"/>
          <w:kern w:val="0"/>
          <w:szCs w:val="21"/>
        </w:rPr>
        <w:t xml:space="preserve"> </w:t>
      </w:r>
      <w:r>
        <w:rPr>
          <w:rFonts w:hint="eastAsia" w:ascii="宋体" w:hAnsi="宋体" w:cs="宋体"/>
          <w:kern w:val="0"/>
          <w:szCs w:val="21"/>
          <w:lang w:val="en-US" w:eastAsia="zh-CN"/>
        </w:rPr>
        <w:t>条款关于“</w:t>
      </w:r>
      <w:r>
        <w:rPr>
          <w:rFonts w:hint="eastAsia" w:ascii="宋体"/>
        </w:rPr>
        <w:t>测量设备应在受控的或已知满足需要的环境中使用，以确保有效的测量结果。</w:t>
      </w:r>
      <w:r>
        <w:rPr>
          <w:rFonts w:hint="eastAsia" w:ascii="宋体" w:hAnsi="宋体" w:cs="宋体"/>
          <w:kern w:val="0"/>
          <w:szCs w:val="21"/>
          <w:lang w:val="en-US" w:eastAsia="zh-CN"/>
        </w:rPr>
        <w:t>”的规定要求</w:t>
      </w:r>
      <w:r>
        <w:rPr>
          <w:rFonts w:hint="eastAsia" w:ascii="宋体" w:hAnsi="宋体"/>
          <w:sz w:val="21"/>
          <w:szCs w:val="21"/>
        </w:rPr>
        <w:t>，</w:t>
      </w:r>
      <w:r>
        <w:rPr>
          <w:rFonts w:hint="eastAsia" w:ascii="Times New Roman" w:hAnsi="Times New Roman"/>
          <w:b w:val="0"/>
          <w:bCs/>
          <w:sz w:val="21"/>
          <w:szCs w:val="21"/>
          <w:lang w:val="en-US" w:eastAsia="zh-CN"/>
        </w:rPr>
        <w:t>.</w:t>
      </w:r>
      <w:r>
        <w:rPr>
          <w:rFonts w:hint="eastAsia" w:ascii="宋体" w:hAnsi="宋体" w:cs="宋体"/>
          <w:b w:val="0"/>
          <w:bCs/>
          <w:kern w:val="0"/>
          <w:sz w:val="21"/>
          <w:szCs w:val="21"/>
        </w:rPr>
        <w:t>经本次现场审核，审核组通过对整改完成情况及纠正措施有效性进行查验，确认公司上次认证审核中确定的</w:t>
      </w:r>
      <w:r>
        <w:rPr>
          <w:rFonts w:hint="eastAsia" w:ascii="宋体" w:hAnsi="宋体" w:cs="宋体"/>
          <w:b w:val="0"/>
          <w:bCs/>
          <w:kern w:val="0"/>
          <w:sz w:val="21"/>
          <w:szCs w:val="21"/>
          <w:lang w:val="en-US" w:eastAsia="zh-CN"/>
        </w:rPr>
        <w:t>1</w:t>
      </w:r>
      <w:r>
        <w:rPr>
          <w:rFonts w:hint="eastAsia" w:ascii="宋体" w:hAnsi="宋体" w:cs="宋体"/>
          <w:b w:val="0"/>
          <w:bCs/>
          <w:kern w:val="0"/>
          <w:sz w:val="21"/>
          <w:szCs w:val="21"/>
        </w:rPr>
        <w:t>个不符合项，该公司</w:t>
      </w:r>
      <w:r>
        <w:rPr>
          <w:rFonts w:hint="eastAsia" w:ascii="宋体" w:hAnsi="宋体" w:cs="宋体"/>
          <w:kern w:val="0"/>
          <w:sz w:val="21"/>
          <w:szCs w:val="21"/>
        </w:rPr>
        <w:t>所采取的纠正措施按时整改完成，纠正措施有效，预防再次发生。同意关闭不符合项。</w:t>
      </w:r>
    </w:p>
    <w:p>
      <w:pPr>
        <w:widowControl/>
        <w:spacing w:line="360" w:lineRule="auto"/>
        <w:rPr>
          <w:rFonts w:ascii="宋体" w:hAnsi="宋体" w:cs="宋体"/>
          <w:bCs/>
          <w:kern w:val="0"/>
          <w:szCs w:val="21"/>
        </w:rPr>
      </w:pP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公司在测量管理体系运行方面</w:t>
      </w:r>
      <w:r>
        <w:rPr>
          <w:rFonts w:hint="eastAsia" w:ascii="宋体" w:hAnsi="宋体" w:cs="宋体"/>
          <w:bCs/>
          <w:kern w:val="0"/>
          <w:szCs w:val="21"/>
          <w:lang w:eastAsia="zh-CN"/>
        </w:rPr>
        <w:t>正常</w:t>
      </w:r>
      <w:r>
        <w:rPr>
          <w:rFonts w:hint="eastAsia" w:ascii="宋体" w:hAnsi="宋体" w:cs="宋体"/>
          <w:bCs/>
          <w:kern w:val="0"/>
          <w:szCs w:val="21"/>
          <w:lang w:val="en-US" w:eastAsia="zh-CN"/>
        </w:rPr>
        <w:t>认证范围无变化。营业执照变更（2021.03.18见附件和工商核准证明）企业</w:t>
      </w:r>
      <w:r>
        <w:rPr>
          <w:rFonts w:hint="eastAsia" w:ascii="宋体" w:hAnsi="宋体" w:cs="宋体"/>
          <w:bCs/>
          <w:kern w:val="0"/>
          <w:szCs w:val="21"/>
        </w:rPr>
        <w:t>管理者代表、组织结构</w:t>
      </w:r>
      <w:r>
        <w:rPr>
          <w:rFonts w:hint="eastAsia" w:ascii="宋体" w:hAnsi="宋体" w:cs="宋体"/>
          <w:bCs/>
          <w:kern w:val="0"/>
          <w:szCs w:val="21"/>
          <w:lang w:eastAsia="zh-CN"/>
        </w:rPr>
        <w:t>等</w:t>
      </w:r>
      <w:r>
        <w:rPr>
          <w:rFonts w:hint="eastAsia" w:ascii="宋体" w:hAnsi="宋体" w:cs="宋体"/>
          <w:bCs/>
          <w:kern w:val="0"/>
          <w:szCs w:val="21"/>
        </w:rPr>
        <w:t>没有变化。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hint="default"/>
          <w:bCs/>
          <w:szCs w:val="21"/>
          <w:lang w:val="en-US" w:eastAsia="zh-CN"/>
        </w:rPr>
      </w:pPr>
      <w:r>
        <w:rPr>
          <w:rFonts w:ascii="Times New Roman" w:hAnsi="Times New Roman" w:cs="Times New Roman"/>
          <w:bCs/>
          <w:kern w:val="0"/>
          <w:szCs w:val="21"/>
        </w:rPr>
        <w:t>（2）测量管理体系认证证书用于：</w:t>
      </w:r>
      <w:r>
        <w:rPr>
          <w:rFonts w:hint="eastAsia" w:ascii="宋体" w:hAnsi="宋体" w:cs="宋体"/>
          <w:bCs/>
          <w:kern w:val="0"/>
          <w:szCs w:val="21"/>
          <w:highlight w:val="none"/>
        </w:rPr>
        <w:t>企业用于</w:t>
      </w:r>
      <w:r>
        <w:rPr>
          <w:rFonts w:hint="eastAsia" w:ascii="宋体" w:hAnsi="宋体" w:cs="宋体"/>
          <w:bCs/>
          <w:kern w:val="0"/>
          <w:szCs w:val="21"/>
          <w:highlight w:val="none"/>
          <w:lang w:eastAsia="zh-CN"/>
        </w:rPr>
        <w:t>胜利油田等招投标单位。</w:t>
      </w:r>
    </w:p>
    <w:p>
      <w:pPr>
        <w:widowControl/>
        <w:spacing w:line="360" w:lineRule="auto"/>
        <w:ind w:firstLine="630" w:firstLineChars="300"/>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Cs/>
          <w:kern w:val="0"/>
          <w:szCs w:val="21"/>
        </w:rPr>
        <w:t>10.</w:t>
      </w:r>
      <w:r>
        <w:rPr>
          <w:rFonts w:hint="eastAsia" w:ascii="宋体" w:hAnsi="宋体" w:cs="宋体"/>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Cs w:val="21"/>
          <w:highlight w:val="none"/>
        </w:rPr>
      </w:pPr>
      <w:r>
        <w:rPr>
          <w:rFonts w:hint="eastAsia" w:ascii="宋体" w:hAnsi="宋体" w:cs="宋体"/>
          <w:kern w:val="0"/>
          <w:szCs w:val="21"/>
          <w:highlight w:val="none"/>
          <w:lang w:val="en-US" w:eastAsia="zh-CN"/>
        </w:rPr>
        <w:t>10.</w:t>
      </w:r>
      <w:r>
        <w:rPr>
          <w:rFonts w:hint="eastAsia" w:ascii="宋体" w:hAnsi="宋体"/>
          <w:szCs w:val="21"/>
          <w:lang w:val="en-US" w:eastAsia="zh-CN"/>
        </w:rPr>
        <w:t>查</w:t>
      </w:r>
      <w:r>
        <w:rPr>
          <w:rFonts w:hint="eastAsia" w:ascii="宋体" w:hAnsi="宋体"/>
          <w:bCs/>
          <w:szCs w:val="21"/>
          <w:lang w:eastAsia="zh-CN"/>
        </w:rPr>
        <w:t>质检科</w:t>
      </w:r>
      <w:r>
        <w:rPr>
          <w:rFonts w:hint="eastAsia" w:ascii="宋体" w:hAnsi="宋体"/>
          <w:szCs w:val="21"/>
        </w:rPr>
        <w:t>《</w:t>
      </w:r>
      <w:r>
        <w:rPr>
          <w:rFonts w:hint="eastAsia" w:ascii="宋体" w:hAnsi="宋体"/>
          <w:szCs w:val="21"/>
          <w:lang w:val="en-US" w:eastAsia="zh-CN"/>
        </w:rPr>
        <w:t>合格服务方清单和评价表</w:t>
      </w:r>
      <w:r>
        <w:rPr>
          <w:rFonts w:hint="eastAsia" w:ascii="宋体" w:hAnsi="宋体"/>
          <w:szCs w:val="21"/>
        </w:rPr>
        <w:t>》</w:t>
      </w:r>
      <w:r>
        <w:rPr>
          <w:rFonts w:hint="eastAsia" w:ascii="宋体" w:hAnsi="宋体"/>
          <w:szCs w:val="21"/>
          <w:lang w:eastAsia="zh-CN"/>
        </w:rPr>
        <w:t>未提供对</w:t>
      </w:r>
      <w:r>
        <w:rPr>
          <w:rFonts w:hint="eastAsia" w:asciiTheme="majorEastAsia" w:hAnsiTheme="majorEastAsia" w:eastAsiaTheme="majorEastAsia"/>
          <w:szCs w:val="21"/>
        </w:rPr>
        <w:t>深圳</w:t>
      </w:r>
      <w:r>
        <w:rPr>
          <w:rFonts w:hint="eastAsia" w:asciiTheme="majorEastAsia" w:hAnsiTheme="majorEastAsia" w:eastAsiaTheme="majorEastAsia"/>
          <w:szCs w:val="21"/>
          <w:lang w:eastAsia="zh-CN"/>
        </w:rPr>
        <w:t>中电</w:t>
      </w:r>
      <w:r>
        <w:rPr>
          <w:rFonts w:hint="eastAsia" w:asciiTheme="majorEastAsia" w:hAnsiTheme="majorEastAsia" w:eastAsiaTheme="majorEastAsia"/>
          <w:szCs w:val="21"/>
        </w:rPr>
        <w:t>计量测</w:t>
      </w:r>
      <w:r>
        <w:rPr>
          <w:rFonts w:hint="eastAsia" w:asciiTheme="majorEastAsia" w:hAnsiTheme="majorEastAsia" w:eastAsiaTheme="majorEastAsia"/>
          <w:szCs w:val="21"/>
          <w:lang w:eastAsia="zh-CN"/>
        </w:rPr>
        <w:t>试</w:t>
      </w:r>
      <w:r>
        <w:rPr>
          <w:rFonts w:hint="eastAsia" w:asciiTheme="majorEastAsia" w:hAnsiTheme="majorEastAsia" w:eastAsiaTheme="majorEastAsia"/>
          <w:szCs w:val="21"/>
        </w:rPr>
        <w:t>技术有限公司</w:t>
      </w:r>
      <w:r>
        <w:rPr>
          <w:rFonts w:hint="eastAsia" w:ascii="宋体" w:hAnsi="宋体"/>
          <w:szCs w:val="21"/>
          <w:lang w:eastAsia="zh-CN"/>
        </w:rPr>
        <w:t>校准机构的检测能力的评价记录</w:t>
      </w:r>
      <w:r>
        <w:rPr>
          <w:rFonts w:hint="eastAsia" w:ascii="宋体" w:hAnsi="Times New Roman" w:eastAsia="宋体" w:cs="宋体"/>
          <w:kern w:val="0"/>
          <w:szCs w:val="21"/>
          <w:lang w:val="en-US" w:eastAsia="zh-CN"/>
        </w:rPr>
        <w:t>。</w:t>
      </w:r>
      <w:r>
        <w:rPr>
          <w:rFonts w:hint="eastAsia" w:ascii="宋体" w:hAnsi="宋体"/>
          <w:bCs/>
          <w:color w:val="auto"/>
          <w:szCs w:val="21"/>
        </w:rPr>
        <w:t>不满足标准GB/T</w:t>
      </w:r>
      <w:r>
        <w:rPr>
          <w:rFonts w:ascii="宋体" w:hAnsi="宋体"/>
          <w:bCs/>
          <w:color w:val="auto"/>
          <w:szCs w:val="21"/>
        </w:rPr>
        <w:t xml:space="preserve"> </w:t>
      </w:r>
      <w:r>
        <w:rPr>
          <w:rFonts w:hint="eastAsia" w:ascii="宋体" w:hAnsi="宋体"/>
          <w:bCs/>
          <w:color w:val="auto"/>
          <w:szCs w:val="21"/>
        </w:rPr>
        <w:t>19022-2003条款</w:t>
      </w:r>
      <w:r>
        <w:rPr>
          <w:rFonts w:hint="eastAsia" w:ascii="宋体" w:hAnsi="宋体"/>
          <w:bCs/>
          <w:color w:val="auto"/>
          <w:szCs w:val="21"/>
          <w:lang w:val="en-US" w:eastAsia="zh-CN"/>
        </w:rPr>
        <w:t>6.4外部供方的规定</w:t>
      </w:r>
      <w:r>
        <w:rPr>
          <w:rFonts w:hint="eastAsia" w:ascii="宋体" w:hAnsi="宋体"/>
          <w:bCs/>
          <w:color w:val="auto"/>
          <w:szCs w:val="21"/>
        </w:rPr>
        <w:t>要求。</w:t>
      </w:r>
      <w:r>
        <w:rPr>
          <w:rFonts w:hint="eastAsia" w:ascii="宋体" w:hAnsi="宋体" w:cs="宋体"/>
          <w:bCs/>
          <w:color w:val="auto"/>
          <w:kern w:val="0"/>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line="360" w:lineRule="auto"/>
        <w:rPr>
          <w:rFonts w:hint="eastAsia" w:ascii="宋体" w:hAnsi="宋体" w:eastAsia="宋体" w:cs="宋体"/>
          <w:b w:val="0"/>
          <w:bCs/>
          <w:kern w:val="0"/>
          <w:szCs w:val="21"/>
          <w:highlight w:val="none"/>
          <w:lang w:eastAsia="zh-CN"/>
        </w:rPr>
      </w:pPr>
      <w:r>
        <w:rPr>
          <w:rFonts w:ascii="宋体" w:hAnsi="宋体" w:cs="宋体"/>
          <w:b w:val="0"/>
          <w:bCs/>
          <w:kern w:val="0"/>
          <w:szCs w:val="21"/>
          <w:highlight w:val="none"/>
        </w:rPr>
        <w:t>11</w:t>
      </w:r>
      <w:r>
        <w:rPr>
          <w:rFonts w:hint="eastAsia" w:ascii="宋体" w:hAnsi="宋体" w:cs="宋体"/>
          <w:b w:val="0"/>
          <w:bCs/>
          <w:kern w:val="0"/>
          <w:szCs w:val="21"/>
          <w:highlight w:val="none"/>
          <w:lang w:val="en-US" w:eastAsia="zh-CN"/>
        </w:rPr>
        <w:t>.</w:t>
      </w: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和水，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w:t>
      </w:r>
      <w:r>
        <w:rPr>
          <w:rFonts w:hint="eastAsia" w:ascii="宋体" w:hAnsi="宋体" w:cs="宋体"/>
          <w:b w:val="0"/>
          <w:bCs/>
          <w:color w:val="auto"/>
          <w:kern w:val="0"/>
          <w:szCs w:val="21"/>
          <w:highlight w:val="none"/>
          <w:lang w:val="en-US" w:eastAsia="zh-CN"/>
        </w:rPr>
        <w:t>020年1-12月，</w:t>
      </w:r>
      <w:r>
        <w:rPr>
          <w:rFonts w:hint="eastAsia" w:ascii="宋体" w:hAnsi="宋体" w:cs="宋体"/>
          <w:b w:val="0"/>
          <w:bCs/>
          <w:color w:val="auto"/>
          <w:kern w:val="0"/>
          <w:szCs w:val="21"/>
          <w:highlight w:val="none"/>
        </w:rPr>
        <w:t>耗能为</w:t>
      </w:r>
      <w:r>
        <w:rPr>
          <w:rFonts w:hint="eastAsia" w:ascii="宋体" w:hAnsi="宋体" w:cs="宋体"/>
          <w:b w:val="0"/>
          <w:bCs/>
          <w:color w:val="auto"/>
          <w:kern w:val="0"/>
          <w:szCs w:val="21"/>
          <w:highlight w:val="none"/>
          <w:lang w:val="en-US" w:eastAsia="zh-CN"/>
        </w:rPr>
        <w:t>7.40</w:t>
      </w:r>
      <w:bookmarkStart w:id="7" w:name="_GoBack"/>
      <w:bookmarkEnd w:id="7"/>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。水表2.5级</w:t>
      </w:r>
      <w:r>
        <w:rPr>
          <w:rFonts w:hint="eastAsia"/>
          <w:b w:val="0"/>
          <w:bCs/>
          <w:szCs w:val="21"/>
          <w:highlight w:val="none"/>
          <w:lang w:val="en-US" w:eastAsia="zh-CN"/>
        </w:rPr>
        <w:t>1</w:t>
      </w:r>
      <w:r>
        <w:rPr>
          <w:rFonts w:hint="eastAsia"/>
          <w:b w:val="0"/>
          <w:bCs/>
          <w:szCs w:val="21"/>
          <w:highlight w:val="none"/>
          <w:lang w:eastAsia="zh-CN"/>
        </w:rPr>
        <w:t>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spacing w:before="240" w:after="240" w:line="360" w:lineRule="auto"/>
        <w:rPr>
          <w:rFonts w:ascii="宋体" w:cs="宋体"/>
          <w:b/>
          <w:bCs/>
          <w:kern w:val="0"/>
          <w:szCs w:val="21"/>
        </w:rPr>
      </w:pPr>
      <w:r>
        <w:rPr>
          <w:rFonts w:hint="eastAsia" w:ascii="宋体" w:hAnsi="宋体" w:cs="宋体"/>
          <w:b/>
          <w:bCs/>
          <w:kern w:val="0"/>
          <w:szCs w:val="21"/>
        </w:rPr>
        <w:t>二、监督审核结论意见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24日</w:t>
      </w:r>
      <w:r>
        <w:rPr>
          <w:rFonts w:hint="eastAsia" w:ascii="宋体" w:hAnsi="宋体" w:cs="宋体"/>
          <w:bCs/>
          <w:color w:val="auto"/>
          <w:kern w:val="0"/>
          <w:szCs w:val="21"/>
        </w:rPr>
        <w:t>，对</w:t>
      </w:r>
      <w:r>
        <w:rPr>
          <w:rFonts w:hint="eastAsia" w:ascii="宋体" w:hAnsi="宋体"/>
          <w:color w:val="auto"/>
          <w:szCs w:val="21"/>
          <w:lang w:eastAsia="zh-CN"/>
        </w:rPr>
        <w:t>山东禧龙石油装备有限公司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cs="宋体"/>
          <w:bCs/>
          <w:color w:val="auto"/>
          <w:kern w:val="0"/>
          <w:szCs w:val="21"/>
        </w:rPr>
        <w:t>现场监督审核，验证了公司在测量管理体系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w:t>
      </w:r>
      <w:r>
        <w:rPr>
          <w:rFonts w:hint="eastAsia" w:ascii="宋体" w:hAnsi="宋体"/>
          <w:color w:val="auto"/>
          <w:szCs w:val="21"/>
        </w:rPr>
        <w:t>关键测量过程，</w:t>
      </w:r>
      <w:r>
        <w:rPr>
          <w:rFonts w:hint="eastAsia" w:ascii="宋体" w:hAnsi="宋体"/>
          <w:color w:val="auto"/>
          <w:szCs w:val="21"/>
          <w:lang w:eastAsia="zh-CN"/>
        </w:rPr>
        <w:t>原测量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山东禧龙石油装备有限公司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spacing w:line="360" w:lineRule="auto"/>
        <w:ind w:firstLine="420" w:firstLineChars="200"/>
        <w:rPr>
          <w:rFonts w:hint="eastAsia" w:ascii="Times New Roman" w:hAnsi="Times New Roman" w:cs="Times New Roman" w:eastAsiaTheme="minorEastAsia"/>
          <w:bCs/>
          <w:kern w:val="0"/>
          <w:szCs w:val="21"/>
          <w:lang w:val="en-US" w:eastAsia="zh-CN"/>
        </w:rPr>
      </w:pPr>
      <w:r>
        <w:rPr>
          <w:rFonts w:hint="eastAsia" w:ascii="Times New Roman" w:hAnsi="Times New Roman" w:cs="Times New Roman"/>
          <w:bCs/>
          <w:kern w:val="0"/>
          <w:szCs w:val="21"/>
          <w:lang w:val="en-US" w:eastAsia="zh-CN"/>
        </w:rPr>
        <w:t>1、</w:t>
      </w:r>
      <w:r>
        <w:rPr>
          <w:rFonts w:hint="eastAsia"/>
          <w:color w:val="000000"/>
          <w:szCs w:val="21"/>
          <w:highlight w:val="none"/>
          <w:lang w:eastAsia="zh-CN"/>
        </w:rPr>
        <w:t>建议新购进的测量设备上账统一管理。计量确认合格后投入使用</w:t>
      </w:r>
      <w:r>
        <w:rPr>
          <w:rFonts w:hint="eastAsia" w:ascii="Times New Roman" w:hAnsi="Times New Roman" w:cs="Times New Roman"/>
          <w:bCs/>
          <w:kern w:val="0"/>
          <w:szCs w:val="21"/>
          <w:lang w:val="en-US" w:eastAsia="zh-CN"/>
        </w:rPr>
        <w:t>。</w:t>
      </w:r>
    </w:p>
    <w:p>
      <w:pPr>
        <w:widowControl/>
        <w:numPr>
          <w:ilvl w:val="0"/>
          <w:numId w:val="0"/>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ind w:firstLine="420" w:firstLineChars="200"/>
        <w:rPr>
          <w:rFonts w:hint="eastAsia" w:ascii="宋体" w:hAnsi="宋体" w:cs="宋体"/>
          <w:bCs/>
          <w:kern w:val="0"/>
          <w:szCs w:val="21"/>
        </w:rPr>
      </w:pPr>
    </w:p>
    <w:p>
      <w:pPr>
        <w:widowControl/>
        <w:spacing w:line="360" w:lineRule="auto"/>
        <w:rPr>
          <w:rFonts w:hint="default" w:ascii="宋体" w:eastAsia="宋体" w:cs="宋体"/>
          <w:b/>
          <w:bCs/>
          <w:kern w:val="0"/>
          <w:szCs w:val="21"/>
          <w:lang w:val="en-US" w:eastAsia="zh-CN"/>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ascii="宋体" w:hAnsi="宋体" w:cs="宋体"/>
          <w:b/>
          <w:bCs/>
          <w:kern w:val="0"/>
          <w:szCs w:val="21"/>
        </w:rPr>
        <w:t xml:space="preserve"> </w:t>
      </w:r>
      <w:r>
        <w:rPr>
          <w:rFonts w:hint="eastAsia" w:ascii="Times New Roman" w:hAnsi="Times New Roman" w:eastAsia="宋体" w:cs="Times New Roman"/>
          <w:b/>
          <w:bCs/>
          <w:sz w:val="21"/>
          <w:szCs w:val="21"/>
          <w:lang w:eastAsia="zh-CN"/>
        </w:rPr>
        <w:drawing>
          <wp:inline distT="0" distB="0" distL="114300" distR="114300">
            <wp:extent cx="534035" cy="283845"/>
            <wp:effectExtent l="0" t="0" r="18415" b="190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34035" cy="283845"/>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2021.6.24</w:t>
      </w:r>
    </w:p>
    <w:p>
      <w:pPr>
        <w:widowControl/>
        <w:spacing w:line="360" w:lineRule="auto"/>
        <w:rPr>
          <w:rFonts w:ascii="宋体" w:cs="宋体"/>
          <w:b/>
          <w:bCs/>
          <w:kern w:val="0"/>
          <w:szCs w:val="21"/>
        </w:rPr>
      </w:pPr>
    </w:p>
    <w:p>
      <w:pPr>
        <w:widowControl/>
        <w:spacing w:line="360" w:lineRule="auto"/>
        <w:jc w:val="left"/>
        <w:rPr>
          <w:rFonts w:ascii="宋体" w:cs="宋体"/>
          <w:b/>
          <w:bCs/>
          <w:kern w:val="0"/>
          <w:szCs w:val="21"/>
        </w:rPr>
      </w:pPr>
      <w:r>
        <w:rPr>
          <w:rFonts w:hint="eastAsia" w:ascii="宋体" w:hAnsi="宋体" w:eastAsia="宋体" w:cs="宋体"/>
          <w:b/>
          <w:bCs/>
          <w:color w:val="000000"/>
          <w:kern w:val="0"/>
          <w:szCs w:val="21"/>
        </w:rPr>
        <w:t xml:space="preserve"> </w:t>
      </w:r>
    </w:p>
    <w:p>
      <w:pPr>
        <w:widowControl/>
        <w:spacing w:line="360" w:lineRule="auto"/>
        <w:rPr>
          <w:rFonts w:ascii="宋体" w:cs="宋体"/>
          <w:b/>
          <w:bCs/>
          <w:kern w:val="0"/>
          <w:szCs w:val="21"/>
        </w:rPr>
      </w:pPr>
    </w:p>
    <w:p>
      <w:pPr>
        <w:widowControl/>
        <w:spacing w:line="360" w:lineRule="auto"/>
        <w:jc w:val="left"/>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cs="宋体"/>
          <w:kern w:val="0"/>
          <w:szCs w:val="28"/>
        </w:rPr>
      </w:pP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6"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66484A"/>
    <w:rsid w:val="08AF38B7"/>
    <w:rsid w:val="11FB5E19"/>
    <w:rsid w:val="145913C3"/>
    <w:rsid w:val="15415121"/>
    <w:rsid w:val="18895737"/>
    <w:rsid w:val="1C86338C"/>
    <w:rsid w:val="1D644926"/>
    <w:rsid w:val="20245D89"/>
    <w:rsid w:val="21C517C9"/>
    <w:rsid w:val="23E3439E"/>
    <w:rsid w:val="242B072E"/>
    <w:rsid w:val="25FE255B"/>
    <w:rsid w:val="2F3769D8"/>
    <w:rsid w:val="313D2294"/>
    <w:rsid w:val="31647056"/>
    <w:rsid w:val="36BD22BD"/>
    <w:rsid w:val="38880CD0"/>
    <w:rsid w:val="3BAB649C"/>
    <w:rsid w:val="3F903830"/>
    <w:rsid w:val="4579515B"/>
    <w:rsid w:val="4BD16FB0"/>
    <w:rsid w:val="4C1D6421"/>
    <w:rsid w:val="4F7B4353"/>
    <w:rsid w:val="52D06ACC"/>
    <w:rsid w:val="548C10AE"/>
    <w:rsid w:val="553819D4"/>
    <w:rsid w:val="55846126"/>
    <w:rsid w:val="56A52AE7"/>
    <w:rsid w:val="57EE0A87"/>
    <w:rsid w:val="58175DC7"/>
    <w:rsid w:val="58362F84"/>
    <w:rsid w:val="58FA7A57"/>
    <w:rsid w:val="59C235A8"/>
    <w:rsid w:val="5AD7341B"/>
    <w:rsid w:val="5B4471AA"/>
    <w:rsid w:val="5BED2E50"/>
    <w:rsid w:val="5FB0688D"/>
    <w:rsid w:val="60FF6850"/>
    <w:rsid w:val="621134D8"/>
    <w:rsid w:val="653A413B"/>
    <w:rsid w:val="65B354C1"/>
    <w:rsid w:val="66DA4EE7"/>
    <w:rsid w:val="69443018"/>
    <w:rsid w:val="69DD4616"/>
    <w:rsid w:val="6AC474AE"/>
    <w:rsid w:val="6E306262"/>
    <w:rsid w:val="6E4A2C41"/>
    <w:rsid w:val="6F03617D"/>
    <w:rsid w:val="6FCB3BEE"/>
    <w:rsid w:val="70F168D6"/>
    <w:rsid w:val="756C46F1"/>
    <w:rsid w:val="77A34641"/>
    <w:rsid w:val="79880B95"/>
    <w:rsid w:val="7E0A279A"/>
    <w:rsid w:val="7E1712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2021-06-25T09:01:40Z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26855577654D4779AED556AE7C30A6C9</vt:lpwstr>
  </property>
</Properties>
</file>