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东营市元捷石油机械有限公司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w:t>
      </w:r>
      <w:r>
        <w:rPr>
          <w:rFonts w:hint="eastAsia" w:ascii="宋体" w:hAnsi="宋体"/>
          <w:sz w:val="32"/>
          <w:u w:val="single"/>
          <w:lang w:val="en-US" w:eastAsia="zh-CN"/>
        </w:rPr>
        <w:t>106</w:t>
      </w:r>
      <w:r>
        <w:rPr>
          <w:rFonts w:hint="eastAsia" w:ascii="宋体" w:hAnsi="宋体"/>
          <w:sz w:val="32"/>
          <w:u w:val="single"/>
        </w:rPr>
        <w:t>-20</w:t>
      </w:r>
      <w:r>
        <w:rPr>
          <w:rFonts w:hint="eastAsia" w:ascii="宋体" w:hAnsi="宋体"/>
          <w:sz w:val="32"/>
          <w:u w:val="single"/>
          <w:lang w:val="en-US" w:eastAsia="zh-CN"/>
        </w:rPr>
        <w:t>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106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94"/>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东营市元捷石油机械有限公司</w:t>
            </w:r>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5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张园园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highlight w:val="none"/>
              </w:rPr>
            </w:pPr>
            <w:r>
              <w:rPr>
                <w:rFonts w:hint="eastAsia" w:cs="宋体" w:asciiTheme="minorEastAsia" w:hAnsiTheme="minorEastAsia"/>
                <w:kern w:val="0"/>
                <w:szCs w:val="21"/>
                <w:highlight w:val="none"/>
              </w:rPr>
              <w:t>认证证书编号</w:t>
            </w:r>
          </w:p>
        </w:tc>
        <w:tc>
          <w:tcPr>
            <w:tcW w:w="3119" w:type="dxa"/>
            <w:vAlign w:val="top"/>
          </w:tcPr>
          <w:p>
            <w:pPr>
              <w:tabs>
                <w:tab w:val="left" w:pos="880"/>
              </w:tabs>
              <w:autoSpaceDE w:val="0"/>
              <w:autoSpaceDN w:val="0"/>
              <w:adjustRightInd w:val="0"/>
              <w:spacing w:before="35" w:line="276" w:lineRule="auto"/>
              <w:ind w:right="161" w:rightChars="0"/>
              <w:rPr>
                <w:rFonts w:hint="default" w:cs="宋体" w:asciiTheme="minorEastAsia" w:hAnsiTheme="minorEastAsia" w:eastAsiaTheme="minorEastAsia"/>
                <w:kern w:val="0"/>
                <w:szCs w:val="21"/>
                <w:highlight w:val="none"/>
                <w:lang w:val="en-US" w:eastAsia="zh-CN"/>
              </w:rPr>
            </w:pPr>
            <w:bookmarkStart w:id="3" w:name="监督次数"/>
            <w:bookmarkEnd w:id="3"/>
            <w:r>
              <w:rPr>
                <w:rFonts w:cs="宋体" w:asciiTheme="minorEastAsia" w:hAnsiTheme="minorEastAsia"/>
                <w:kern w:val="0"/>
                <w:szCs w:val="21"/>
                <w:highlight w:val="none"/>
              </w:rPr>
              <w:t>ISC-2020-0</w:t>
            </w:r>
            <w:r>
              <w:rPr>
                <w:rFonts w:hint="eastAsia" w:cs="宋体" w:asciiTheme="minorEastAsia" w:hAnsiTheme="minorEastAsia"/>
                <w:kern w:val="0"/>
                <w:szCs w:val="21"/>
                <w:highlight w:val="none"/>
                <w:lang w:val="en-US" w:eastAsia="zh-CN"/>
              </w:rPr>
              <w:t>727</w:t>
            </w:r>
          </w:p>
        </w:tc>
        <w:tc>
          <w:tcPr>
            <w:tcW w:w="179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highlight w:val="none"/>
              </w:rPr>
            </w:pPr>
            <w:r>
              <w:rPr>
                <w:rFonts w:hint="eastAsia" w:cs="宋体" w:asciiTheme="minorEastAsia" w:hAnsiTheme="minorEastAsia"/>
                <w:kern w:val="0"/>
                <w:szCs w:val="21"/>
                <w:highlight w:val="none"/>
              </w:rPr>
              <w:t>证书有效期</w:t>
            </w:r>
          </w:p>
        </w:tc>
        <w:tc>
          <w:tcPr>
            <w:tcW w:w="2458"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Cs w:val="21"/>
                <w:highlight w:val="none"/>
                <w:lang w:val="en-US" w:eastAsia="zh-CN"/>
              </w:rPr>
            </w:pPr>
            <w:r>
              <w:rPr>
                <w:rFonts w:cs="宋体" w:asciiTheme="minorEastAsia" w:hAnsiTheme="minorEastAsia"/>
                <w:kern w:val="0"/>
                <w:szCs w:val="21"/>
                <w:highlight w:val="none"/>
              </w:rPr>
              <w:t>2025-0</w:t>
            </w:r>
            <w:r>
              <w:rPr>
                <w:rFonts w:hint="eastAsia" w:cs="宋体" w:asciiTheme="minorEastAsia" w:hAnsiTheme="minorEastAsia"/>
                <w:kern w:val="0"/>
                <w:szCs w:val="21"/>
                <w:highlight w:val="none"/>
                <w:lang w:val="en-US" w:eastAsia="zh-CN"/>
              </w:rPr>
              <w:t>6</w:t>
            </w:r>
            <w:r>
              <w:rPr>
                <w:rFonts w:cs="宋体" w:asciiTheme="minorEastAsia" w:hAnsiTheme="minorEastAsia"/>
                <w:kern w:val="0"/>
                <w:szCs w:val="21"/>
                <w:highlight w:val="none"/>
              </w:rPr>
              <w:t>-</w:t>
            </w:r>
            <w:r>
              <w:rPr>
                <w:rFonts w:hint="eastAsia" w:cs="宋体" w:asciiTheme="minorEastAsia" w:hAnsiTheme="minorEastAsia"/>
                <w:kern w:val="0"/>
                <w:szCs w:val="21"/>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第一次</w:t>
            </w:r>
          </w:p>
        </w:tc>
        <w:tc>
          <w:tcPr>
            <w:tcW w:w="1794"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kern w:val="0"/>
                <w:szCs w:val="21"/>
              </w:rPr>
              <w:t>2021年0</w:t>
            </w:r>
            <w:r>
              <w:rPr>
                <w:rFonts w:hint="eastAsia" w:cs="宋体" w:asciiTheme="minorEastAsia" w:hAnsiTheme="minorEastAsia"/>
                <w:kern w:val="0"/>
                <w:szCs w:val="21"/>
                <w:lang w:val="en-US" w:eastAsia="zh-CN"/>
              </w:rPr>
              <w:t>6</w:t>
            </w:r>
            <w:r>
              <w:rPr>
                <w:rFonts w:cs="宋体" w:asciiTheme="minorEastAsia" w:hAnsiTheme="minorEastAsia"/>
                <w:kern w:val="0"/>
                <w:szCs w:val="21"/>
              </w:rPr>
              <w:t>月</w:t>
            </w:r>
            <w:r>
              <w:rPr>
                <w:rFonts w:hint="eastAsia" w:cs="宋体" w:asciiTheme="minorEastAsia" w:hAnsiTheme="minorEastAsia"/>
                <w:kern w:val="0"/>
                <w:szCs w:val="21"/>
                <w:lang w:val="en-US" w:eastAsia="zh-CN"/>
              </w:rPr>
              <w:t>23</w:t>
            </w:r>
            <w:r>
              <w:rPr>
                <w:rFonts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lang w:eastAsia="zh-CN"/>
              </w:rPr>
              <w:t>姜丽</w:t>
            </w:r>
            <w:r>
              <w:rPr>
                <w:rFonts w:hint="eastAsia" w:cs="宋体" w:asciiTheme="minorEastAsia" w:hAnsiTheme="minorEastAsia"/>
                <w:kern w:val="0"/>
                <w:szCs w:val="21"/>
                <w:lang w:val="en-US" w:eastAsia="zh-CN"/>
              </w:rPr>
              <w:t xml:space="preserve">  </w:t>
            </w:r>
            <w:r>
              <w:rPr>
                <w:rFonts w:ascii="宋体" w:hAnsi="宋体" w:eastAsia="宋体" w:cs="Times New Roman"/>
                <w:color w:val="000000"/>
                <w:szCs w:val="21"/>
              </w:rPr>
              <w:t>2021-M1MMS-2274284</w:t>
            </w:r>
          </w:p>
          <w:p>
            <w:pPr>
              <w:tabs>
                <w:tab w:val="left" w:pos="880"/>
              </w:tabs>
              <w:autoSpaceDE w:val="0"/>
              <w:autoSpaceDN w:val="0"/>
              <w:adjustRightInd w:val="0"/>
              <w:spacing w:before="35" w:line="276" w:lineRule="auto"/>
              <w:ind w:right="161"/>
              <w:jc w:val="left"/>
              <w:rPr>
                <w:rFonts w:asciiTheme="minorHAnsi" w:hAnsiTheme="minorHAnsi" w:eastAsiaTheme="minorEastAsia" w:cstheme="minorBidi"/>
                <w:color w:val="000000"/>
                <w:kern w:val="2"/>
                <w:sz w:val="21"/>
                <w:szCs w:val="21"/>
                <w:shd w:val="pct10" w:color="auto" w:fill="FFFFFF"/>
                <w:lang w:val="en-US" w:eastAsia="zh-CN" w:bidi="ar-SA"/>
              </w:rPr>
            </w:pPr>
          </w:p>
        </w:tc>
        <w:tc>
          <w:tcPr>
            <w:tcW w:w="1794" w:type="dxa"/>
            <w:vAlign w:val="center"/>
          </w:tcPr>
          <w:p>
            <w:pPr>
              <w:spacing w:line="240" w:lineRule="exact"/>
              <w:jc w:val="center"/>
              <w:rPr>
                <w:rFonts w:asciiTheme="minorHAnsi" w:hAnsiTheme="minorHAnsi" w:eastAsiaTheme="minorEastAsia" w:cstheme="minorBidi"/>
                <w:color w:val="000000"/>
                <w:kern w:val="2"/>
                <w:sz w:val="21"/>
                <w:szCs w:val="21"/>
                <w:lang w:val="en-US" w:eastAsia="zh-CN" w:bidi="ar-SA"/>
              </w:rPr>
            </w:pPr>
            <w:r>
              <w:rPr>
                <w:rFonts w:cs="宋体" w:asciiTheme="minorEastAsia" w:hAnsiTheme="minorEastAsia"/>
                <w:bCs/>
                <w:kern w:val="0"/>
                <w:szCs w:val="21"/>
              </w:rPr>
              <w:t>监督审核涉及的区域或部门</w:t>
            </w:r>
          </w:p>
        </w:tc>
        <w:tc>
          <w:tcPr>
            <w:tcW w:w="2458" w:type="dxa"/>
          </w:tcPr>
          <w:p>
            <w:pPr>
              <w:jc w:val="both"/>
              <w:rPr>
                <w:rFonts w:cs="宋体" w:asciiTheme="minorEastAsia" w:hAnsiTheme="minorEastAsia"/>
                <w:kern w:val="0"/>
                <w:szCs w:val="21"/>
              </w:rPr>
            </w:pPr>
            <w:r>
              <w:rPr>
                <w:rFonts w:hint="eastAsia"/>
                <w:color w:val="000000"/>
                <w:szCs w:val="21"/>
                <w:lang w:eastAsia="zh-CN"/>
              </w:rPr>
              <w:t>生产技术部（质量）、综合部、供销部、生产车间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东营市元捷石油机械有限公司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eastAsia="zh-CN"/>
        </w:rPr>
        <w:t>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20</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szCs w:val="21"/>
          <w:lang w:eastAsia="zh-CN"/>
        </w:rPr>
        <w:t>李海伟</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eastAsia="zh-CN"/>
        </w:rPr>
        <w:t>作业区</w:t>
      </w:r>
      <w:r>
        <w:rPr>
          <w:rFonts w:hint="eastAsia" w:ascii="宋体" w:hAnsi="宋体" w:cs="宋体"/>
          <w:bCs/>
          <w:kern w:val="0"/>
          <w:szCs w:val="21"/>
        </w:rPr>
        <w:t>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6</w:t>
      </w:r>
      <w:r>
        <w:rPr>
          <w:rFonts w:hint="eastAsia" w:ascii="宋体" w:hAnsi="宋体" w:cs="宋体"/>
          <w:bCs/>
          <w:kern w:val="0"/>
          <w:szCs w:val="21"/>
        </w:rPr>
        <w:t>月</w:t>
      </w:r>
      <w:r>
        <w:rPr>
          <w:rFonts w:hint="eastAsia" w:ascii="宋体" w:hAnsi="宋体" w:cs="宋体"/>
          <w:bCs/>
          <w:kern w:val="0"/>
          <w:szCs w:val="21"/>
          <w:lang w:val="en-US" w:eastAsia="zh-CN"/>
        </w:rPr>
        <w:t>6</w:t>
      </w:r>
      <w:r>
        <w:rPr>
          <w:rFonts w:hint="eastAsia" w:ascii="宋体" w:hAnsi="宋体" w:cs="宋体"/>
          <w:bCs/>
          <w:kern w:val="0"/>
          <w:szCs w:val="21"/>
        </w:rPr>
        <w:t>日，开展了测量体系管理评审，</w:t>
      </w:r>
      <w:r>
        <w:rPr>
          <w:bCs/>
          <w:szCs w:val="21"/>
        </w:rPr>
        <w:t>会议由企业总经理</w:t>
      </w:r>
      <w:r>
        <w:rPr>
          <w:rFonts w:hint="eastAsia"/>
          <w:bCs/>
          <w:szCs w:val="21"/>
          <w:lang w:eastAsia="zh-CN"/>
        </w:rPr>
        <w:t>李红卫</w:t>
      </w:r>
      <w:r>
        <w:rPr>
          <w:szCs w:val="21"/>
        </w:rPr>
        <w:t>主持</w:t>
      </w:r>
      <w:r>
        <w:rPr>
          <w:bCs/>
          <w:szCs w:val="21"/>
        </w:rPr>
        <w:t>、</w:t>
      </w:r>
      <w:r>
        <w:rPr>
          <w:szCs w:val="21"/>
        </w:rPr>
        <w:t>管理者代表</w:t>
      </w:r>
      <w:r>
        <w:rPr>
          <w:rFonts w:hint="eastAsia"/>
          <w:szCs w:val="21"/>
          <w:lang w:eastAsia="zh-CN"/>
        </w:rPr>
        <w:t>李海伟</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w:t>
      </w:r>
      <w:r>
        <w:rPr>
          <w:rFonts w:hint="eastAsia" w:ascii="宋体" w:hAnsi="宋体" w:cs="宋体"/>
          <w:bCs/>
          <w:kern w:val="0"/>
          <w:szCs w:val="21"/>
          <w:lang w:eastAsia="zh-CN"/>
        </w:rPr>
        <w:t>（内审员培训）</w:t>
      </w:r>
      <w:r>
        <w:rPr>
          <w:rFonts w:hint="eastAsia" w:ascii="宋体" w:hAnsi="宋体" w:cs="宋体"/>
          <w:bCs/>
          <w:kern w:val="0"/>
          <w:szCs w:val="21"/>
        </w:rPr>
        <w:t>，落实了整改部门。管理评审结论为：公司测量管理体系基本有效运行，符合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4" w:name="审核范围"/>
      <w:r>
        <w:rPr>
          <w:color w:val="000000"/>
          <w:szCs w:val="21"/>
        </w:rPr>
        <w:t>石油机械配件、泵配件、防喷器的机械加工；石油机械设备、工业泵、保温材料、劳保用品、消防设备、安防设备及配件、水泥制品、仪器仪表、五金工具的销售</w:t>
      </w:r>
      <w:bookmarkEnd w:id="4"/>
      <w:r>
        <w:rPr>
          <w:color w:val="000000"/>
          <w:szCs w:val="21"/>
        </w:rPr>
        <w:t>等</w:t>
      </w:r>
      <w:r>
        <w:rPr>
          <w:rFonts w:hint="eastAsia" w:ascii="宋体" w:hAnsi="宋体"/>
          <w:szCs w:val="21"/>
          <w:lang w:eastAsia="zh-CN"/>
        </w:rPr>
        <w:t>。</w:t>
      </w:r>
      <w:r>
        <w:rPr>
          <w:rFonts w:hint="eastAsia"/>
          <w:color w:val="000000"/>
          <w:szCs w:val="21"/>
          <w:lang w:eastAsia="zh-CN"/>
        </w:rPr>
        <w:t>生产技术部（质量）</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kern w:val="0"/>
          <w:szCs w:val="21"/>
        </w:rPr>
        <w:t>“</w:t>
      </w:r>
      <w:r>
        <w:rPr>
          <w:rFonts w:hint="default" w:ascii="Times New Roman" w:hAnsi="Times New Roman" w:eastAsia="宋体" w:cs="Times New Roman"/>
          <w:sz w:val="21"/>
          <w:szCs w:val="21"/>
          <w:lang w:val="en-US" w:eastAsia="zh-CN"/>
        </w:rPr>
        <w:t>上筒体高度测量</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highlight w:val="none"/>
          <w:lang w:val="en-US" w:eastAsia="zh-CN"/>
        </w:rPr>
        <w:t>扣捞矛杆</w:t>
      </w:r>
      <w:r>
        <w:rPr>
          <w:rFonts w:hint="eastAsia" w:ascii="Times New Roman" w:hAnsi="Times New Roman" w:eastAsia="宋体" w:cs="Times New Roman"/>
          <w:sz w:val="21"/>
          <w:szCs w:val="21"/>
          <w:highlight w:val="none"/>
          <w:lang w:val="en-US" w:eastAsia="zh-CN"/>
        </w:rPr>
        <w:t>硬度检验</w:t>
      </w:r>
      <w:r>
        <w:rPr>
          <w:rFonts w:hint="eastAsia" w:ascii="宋体" w:hAnsi="宋体" w:eastAsia="宋体" w:cs="宋体"/>
          <w:snapToGrid w:val="0"/>
          <w:color w:val="000000"/>
          <w:kern w:val="0"/>
          <w:szCs w:val="21"/>
          <w:highlight w:val="none"/>
          <w:lang w:eastAsia="zh-CN"/>
        </w:rPr>
        <w:t>、上筒体探伤检验探伤、下筒体荧光磁粉探伤检验、27/8NU×27/8EU双公接头冲击试验等</w:t>
      </w:r>
      <w:r>
        <w:rPr>
          <w:rFonts w:hint="eastAsia" w:ascii="宋体" w:hAnsi="宋体" w:eastAsia="宋体" w:cs="宋体"/>
          <w:snapToGrid w:val="0"/>
          <w:color w:val="000000"/>
          <w:kern w:val="0"/>
          <w:szCs w:val="21"/>
          <w:highlight w:val="none"/>
          <w:lang w:val="en-US" w:eastAsia="zh-CN"/>
        </w:rPr>
        <w:t>51</w:t>
      </w:r>
      <w:r>
        <w:rPr>
          <w:rFonts w:hint="eastAsia" w:ascii="宋体" w:hAnsi="宋体" w:cs="宋体"/>
          <w:kern w:val="0"/>
          <w:szCs w:val="21"/>
          <w:highlight w:val="none"/>
          <w:lang w:val="en-US" w:eastAsia="zh-CN"/>
        </w:rPr>
        <w:t>个测量过程</w:t>
      </w:r>
      <w:r>
        <w:rPr>
          <w:rFonts w:hint="eastAsia" w:ascii="宋体" w:hAnsi="宋体" w:cs="宋体"/>
          <w:kern w:val="0"/>
          <w:szCs w:val="21"/>
          <w:lang w:val="en-US" w:eastAsia="zh-CN"/>
        </w:rPr>
        <w:t>，</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default" w:ascii="Times New Roman" w:hAnsi="Times New Roman" w:eastAsia="宋体" w:cs="Times New Roman"/>
          <w:sz w:val="21"/>
          <w:szCs w:val="21"/>
          <w:lang w:val="en-US" w:eastAsia="zh-CN"/>
        </w:rPr>
        <w:t>上筒体高度测量</w:t>
      </w:r>
      <w:r>
        <w:rPr>
          <w:rFonts w:hint="eastAsia" w:ascii="宋体" w:hAnsi="宋体" w:cs="黑体"/>
          <w:color w:val="auto"/>
          <w:szCs w:val="21"/>
          <w:highlight w:val="none"/>
          <w:lang w:eastAsia="zh-CN"/>
        </w:rPr>
        <w:t>测量</w:t>
      </w:r>
      <w:r>
        <w:rPr>
          <w:rFonts w:hint="eastAsia" w:ascii="宋体" w:hAnsi="宋体" w:eastAsia="宋体" w:cs="宋体"/>
          <w:szCs w:val="21"/>
        </w:rPr>
        <w:t>过程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101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default" w:ascii="Times New Roman" w:hAnsi="Times New Roman" w:eastAsia="宋体" w:cs="Times New Roman"/>
          <w:sz w:val="21"/>
          <w:szCs w:val="21"/>
          <w:lang w:val="en-US" w:eastAsia="zh-CN"/>
        </w:rPr>
        <w:t>上筒体高度测量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default" w:ascii="Times New Roman" w:hAnsi="Times New Roman" w:eastAsia="宋体" w:cs="Times New Roman"/>
          <w:sz w:val="21"/>
          <w:szCs w:val="21"/>
          <w:lang w:val="en-US" w:eastAsia="zh-CN"/>
        </w:rPr>
        <w:t>上筒体高度测量</w:t>
      </w:r>
      <w:r>
        <w:rPr>
          <w:rFonts w:hint="eastAsia" w:ascii="宋体" w:hAnsi="宋体" w:cs="黑体"/>
          <w:color w:val="auto"/>
          <w:szCs w:val="21"/>
          <w:highlight w:val="none"/>
          <w:lang w:eastAsia="zh-CN"/>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default" w:ascii="Times New Roman" w:hAnsi="Times New Roman" w:eastAsia="宋体" w:cs="Times New Roman"/>
          <w:sz w:val="21"/>
          <w:szCs w:val="21"/>
          <w:lang w:val="en-US" w:eastAsia="zh-CN"/>
        </w:rPr>
        <w:t>上筒体高度测量</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default" w:ascii="Times New Roman" w:hAnsi="Times New Roman" w:eastAsia="宋体" w:cs="Times New Roman"/>
          <w:sz w:val="21"/>
          <w:szCs w:val="21"/>
          <w:lang w:val="en-US" w:eastAsia="zh-CN"/>
        </w:rPr>
        <w:t>上筒体高度</w:t>
      </w:r>
      <w:r>
        <w:rPr>
          <w:rFonts w:hint="eastAsia" w:ascii="宋体" w:hAnsi="宋体" w:cs="黑体"/>
          <w:color w:val="auto"/>
          <w:szCs w:val="21"/>
          <w:highlight w:val="none"/>
          <w:lang w:eastAsia="zh-CN"/>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w:t>
      </w:r>
      <w:r>
        <w:rPr>
          <w:rFonts w:hint="eastAsia" w:ascii="宋体" w:hAnsi="宋体" w:cs="宋体"/>
          <w:bCs/>
          <w:kern w:val="0"/>
          <w:szCs w:val="21"/>
          <w:lang w:eastAsia="zh-CN"/>
        </w:rPr>
        <w:t>（现场补审时）</w:t>
      </w:r>
      <w:r>
        <w:rPr>
          <w:rFonts w:hint="eastAsia" w:ascii="宋体" w:hAnsi="宋体" w:cs="宋体"/>
          <w:bCs/>
          <w:kern w:val="0"/>
          <w:szCs w:val="21"/>
        </w:rPr>
        <w:t>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bookmarkStart w:id="5" w:name="_Hlk29977309"/>
      <w:r>
        <w:rPr>
          <w:rFonts w:hint="eastAsia" w:ascii="宋体" w:hAnsi="宋体"/>
          <w:b w:val="0"/>
          <w:bCs/>
          <w:sz w:val="21"/>
          <w:szCs w:val="21"/>
          <w:lang w:val="en-US" w:eastAsia="zh-CN"/>
        </w:rPr>
        <w:t>1</w:t>
      </w:r>
      <w:bookmarkEnd w:id="5"/>
      <w:r>
        <w:rPr>
          <w:rFonts w:hint="eastAsia" w:ascii="宋体" w:hAnsi="宋体" w:cs="宋体"/>
          <w:kern w:val="0"/>
          <w:sz w:val="21"/>
          <w:szCs w:val="21"/>
          <w:lang w:val="en-US" w:eastAsia="zh-CN"/>
        </w:rPr>
        <w:t>生产技术部（质检理化室）未能提供室内的温湿度记录。</w:t>
      </w:r>
      <w:r>
        <w:rPr>
          <w:rFonts w:ascii="宋体" w:hAnsi="宋体" w:cs="宋体"/>
          <w:kern w:val="0"/>
          <w:sz w:val="21"/>
          <w:szCs w:val="21"/>
        </w:rPr>
        <w:t>不符</w:t>
      </w:r>
      <w:r>
        <w:rPr>
          <w:rFonts w:ascii="宋体" w:hAnsi="宋体" w:eastAsia="宋体" w:cs="宋体"/>
          <w:kern w:val="0"/>
          <w:sz w:val="21"/>
          <w:szCs w:val="21"/>
        </w:rPr>
        <w:t>合</w:t>
      </w:r>
      <w:r>
        <w:rPr>
          <w:rFonts w:hint="eastAsia" w:ascii="宋体" w:hAnsi="宋体" w:eastAsia="宋体" w:cs="宋体"/>
          <w:kern w:val="0"/>
          <w:sz w:val="21"/>
          <w:szCs w:val="21"/>
        </w:rPr>
        <w:t>GB</w:t>
      </w:r>
      <w:r>
        <w:rPr>
          <w:rFonts w:ascii="宋体" w:hAnsi="宋体" w:eastAsia="宋体" w:cs="宋体"/>
          <w:kern w:val="0"/>
          <w:sz w:val="21"/>
          <w:szCs w:val="21"/>
        </w:rPr>
        <w:t>/</w:t>
      </w:r>
      <w:r>
        <w:rPr>
          <w:rFonts w:hint="eastAsia" w:ascii="宋体" w:hAnsi="宋体" w:eastAsia="宋体" w:cs="宋体"/>
          <w:kern w:val="0"/>
          <w:sz w:val="21"/>
          <w:szCs w:val="21"/>
        </w:rPr>
        <w:t>T</w:t>
      </w:r>
      <w:r>
        <w:rPr>
          <w:rFonts w:ascii="宋体" w:hAnsi="宋体" w:eastAsia="宋体" w:cs="宋体"/>
          <w:kern w:val="0"/>
          <w:sz w:val="21"/>
          <w:szCs w:val="21"/>
        </w:rPr>
        <w:t>19022-2003</w:t>
      </w:r>
      <w:r>
        <w:rPr>
          <w:rFonts w:hint="eastAsia" w:ascii="宋体" w:hAnsi="宋体" w:eastAsia="宋体" w:cs="宋体"/>
          <w:kern w:val="0"/>
          <w:sz w:val="21"/>
          <w:szCs w:val="21"/>
          <w:lang w:eastAsia="zh-CN"/>
        </w:rPr>
        <w:t>标准</w:t>
      </w:r>
      <w:r>
        <w:rPr>
          <w:rFonts w:hint="eastAsia" w:ascii="宋体" w:hAnsi="宋体" w:eastAsia="宋体" w:cs="宋体"/>
          <w:kern w:val="0"/>
          <w:sz w:val="21"/>
          <w:szCs w:val="21"/>
          <w:lang w:val="en-US" w:eastAsia="zh-CN"/>
        </w:rPr>
        <w:t>6.3</w:t>
      </w:r>
      <w:r>
        <w:rPr>
          <w:rFonts w:hint="eastAsia" w:ascii="宋体" w:hAnsi="宋体" w:cs="宋体"/>
          <w:kern w:val="0"/>
          <w:sz w:val="21"/>
          <w:szCs w:val="21"/>
        </w:rPr>
        <w:t>.</w:t>
      </w:r>
      <w:r>
        <w:rPr>
          <w:rFonts w:hint="eastAsia" w:ascii="宋体" w:hAnsi="宋体" w:cs="宋体"/>
          <w:kern w:val="0"/>
          <w:sz w:val="21"/>
          <w:szCs w:val="21"/>
          <w:lang w:val="en-US" w:eastAsia="zh-CN"/>
        </w:rPr>
        <w:t>2环境</w:t>
      </w:r>
      <w:r>
        <w:rPr>
          <w:rFonts w:hint="eastAsia" w:ascii="宋体" w:hAnsi="宋体" w:cs="宋体"/>
          <w:kern w:val="0"/>
          <w:sz w:val="21"/>
          <w:szCs w:val="21"/>
        </w:rPr>
        <w:t xml:space="preserve"> </w:t>
      </w:r>
      <w:r>
        <w:rPr>
          <w:rFonts w:hint="eastAsia" w:ascii="宋体" w:hAnsi="宋体" w:cs="宋体"/>
          <w:kern w:val="0"/>
          <w:sz w:val="21"/>
          <w:szCs w:val="21"/>
          <w:lang w:val="en-US" w:eastAsia="zh-CN"/>
        </w:rPr>
        <w:t>条款关于“应监视和记录影响量的环境条件。根据环境条件所进行的修正应予以记录并用于测量结果”的规定要求</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经本次现场审核，审核组通过对整改完成情况及纠正措施有效性进行查验，确认公司上次认证审核中确定的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hAnsi="宋体" w:cs="宋体"/>
          <w:bCs/>
          <w:kern w:val="0"/>
          <w:szCs w:val="21"/>
        </w:rPr>
      </w:pP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公司在测量管理体系运行方面</w:t>
      </w:r>
      <w:r>
        <w:rPr>
          <w:rFonts w:hint="eastAsia" w:ascii="宋体" w:hAnsi="宋体" w:cs="宋体"/>
          <w:bCs/>
          <w:kern w:val="0"/>
          <w:szCs w:val="21"/>
          <w:lang w:eastAsia="zh-CN"/>
        </w:rPr>
        <w:t>正常</w:t>
      </w:r>
      <w:r>
        <w:rPr>
          <w:rFonts w:hint="eastAsia" w:ascii="宋体" w:hAnsi="宋体" w:cs="宋体"/>
          <w:bCs/>
          <w:kern w:val="0"/>
          <w:szCs w:val="21"/>
          <w:lang w:val="en-US" w:eastAsia="zh-CN"/>
        </w:rPr>
        <w:t>认证范围无变化。企业</w:t>
      </w:r>
      <w:r>
        <w:rPr>
          <w:rFonts w:hint="eastAsia" w:ascii="宋体" w:hAnsi="宋体" w:cs="宋体"/>
          <w:bCs/>
          <w:kern w:val="0"/>
          <w:szCs w:val="21"/>
        </w:rPr>
        <w:t>管理者代表、组织结构</w:t>
      </w:r>
      <w:r>
        <w:rPr>
          <w:rFonts w:hint="eastAsia" w:ascii="宋体" w:hAnsi="宋体" w:cs="宋体"/>
          <w:bCs/>
          <w:kern w:val="0"/>
          <w:szCs w:val="21"/>
          <w:lang w:eastAsia="zh-CN"/>
        </w:rPr>
        <w:t>等</w:t>
      </w:r>
      <w:r>
        <w:rPr>
          <w:rFonts w:hint="eastAsia" w:ascii="宋体" w:hAnsi="宋体" w:cs="宋体"/>
          <w:bCs/>
          <w:kern w:val="0"/>
          <w:szCs w:val="21"/>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企业用于</w:t>
      </w:r>
      <w:r>
        <w:rPr>
          <w:rFonts w:hint="eastAsia" w:ascii="宋体" w:hAnsi="宋体" w:cs="宋体"/>
          <w:bCs/>
          <w:kern w:val="0"/>
          <w:szCs w:val="21"/>
          <w:highlight w:val="none"/>
          <w:lang w:eastAsia="zh-CN"/>
        </w:rPr>
        <w:t>胜利油田等招投标单位。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Times New Roman" w:eastAsia="宋体" w:cs="宋体"/>
          <w:kern w:val="0"/>
          <w:szCs w:val="21"/>
          <w:lang w:val="en-US" w:eastAsia="zh-CN"/>
        </w:rPr>
        <w:t>抽查质检理化室编号为ZF20170086型号：TMR1700JILIANG 金相显微镜，确认间隔调整24个月，未能提供评审记录。</w:t>
      </w:r>
      <w:r>
        <w:rPr>
          <w:rFonts w:hint="eastAsia" w:ascii="宋体" w:hAnsi="宋体"/>
          <w:bCs/>
          <w:color w:val="auto"/>
          <w:szCs w:val="21"/>
        </w:rPr>
        <w:t>不满足标准GB/T</w:t>
      </w:r>
      <w:r>
        <w:rPr>
          <w:rFonts w:ascii="宋体" w:hAnsi="宋体"/>
          <w:bCs/>
          <w:color w:val="auto"/>
          <w:szCs w:val="21"/>
        </w:rPr>
        <w:t xml:space="preserve"> </w:t>
      </w:r>
      <w:r>
        <w:rPr>
          <w:rFonts w:hint="eastAsia" w:ascii="宋体" w:hAnsi="宋体"/>
          <w:bCs/>
          <w:color w:val="auto"/>
          <w:szCs w:val="21"/>
        </w:rPr>
        <w:t>19022-2003条款</w:t>
      </w:r>
      <w:r>
        <w:rPr>
          <w:rFonts w:hint="eastAsia" w:ascii="宋体" w:hAnsi="宋体"/>
          <w:bCs/>
          <w:color w:val="auto"/>
          <w:szCs w:val="21"/>
          <w:lang w:val="en-US" w:eastAsia="zh-CN"/>
        </w:rPr>
        <w:t>7.1.2计量确认间隔的规定</w:t>
      </w:r>
      <w:r>
        <w:rPr>
          <w:rFonts w:hint="eastAsia" w:ascii="宋体" w:hAnsi="宋体"/>
          <w:bCs/>
          <w:color w:val="auto"/>
          <w:szCs w:val="21"/>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w:t>
      </w:r>
      <w:r>
        <w:rPr>
          <w:rFonts w:hint="eastAsia" w:ascii="宋体" w:hAnsi="宋体" w:cs="宋体"/>
          <w:b w:val="0"/>
          <w:bCs/>
          <w:color w:val="auto"/>
          <w:kern w:val="0"/>
          <w:szCs w:val="21"/>
          <w:highlight w:val="none"/>
          <w:lang w:val="en-US" w:eastAsia="zh-CN"/>
        </w:rPr>
        <w:t>020年1-12月，</w:t>
      </w:r>
      <w:r>
        <w:rPr>
          <w:rFonts w:hint="eastAsia" w:ascii="宋体" w:hAnsi="宋体" w:cs="宋体"/>
          <w:b w:val="0"/>
          <w:bCs/>
          <w:color w:val="auto"/>
          <w:kern w:val="0"/>
          <w:szCs w:val="21"/>
          <w:highlight w:val="none"/>
        </w:rPr>
        <w:t>耗能为</w:t>
      </w:r>
      <w:r>
        <w:rPr>
          <w:rFonts w:hint="eastAsia" w:ascii="宋体" w:hAnsi="宋体" w:cs="宋体"/>
          <w:b w:val="0"/>
          <w:bCs/>
          <w:color w:val="auto"/>
          <w:kern w:val="0"/>
          <w:szCs w:val="21"/>
          <w:highlight w:val="none"/>
          <w:lang w:val="en-US" w:eastAsia="zh-CN"/>
        </w:rPr>
        <w:t>32.17</w:t>
      </w:r>
      <w:bookmarkStart w:id="7" w:name="_GoBack"/>
      <w:bookmarkEnd w:id="7"/>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。水表2.5级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23日</w:t>
      </w:r>
      <w:r>
        <w:rPr>
          <w:rFonts w:hint="eastAsia" w:ascii="宋体" w:hAnsi="宋体" w:cs="宋体"/>
          <w:bCs/>
          <w:color w:val="auto"/>
          <w:kern w:val="0"/>
          <w:szCs w:val="21"/>
        </w:rPr>
        <w:t>，对</w:t>
      </w:r>
      <w:r>
        <w:rPr>
          <w:rFonts w:hint="eastAsia" w:ascii="宋体" w:hAnsi="宋体"/>
          <w:color w:val="auto"/>
          <w:szCs w:val="21"/>
          <w:lang w:eastAsia="zh-CN"/>
        </w:rPr>
        <w:t>东营市元捷石油机械有限公司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w:t>
      </w:r>
      <w:r>
        <w:rPr>
          <w:rFonts w:hint="eastAsia" w:ascii="宋体" w:hAnsi="宋体"/>
          <w:color w:val="auto"/>
          <w:szCs w:val="21"/>
        </w:rPr>
        <w:t>关键测量过程，</w:t>
      </w:r>
      <w:r>
        <w:rPr>
          <w:rFonts w:hint="eastAsia" w:ascii="宋体" w:hAnsi="宋体"/>
          <w:color w:val="auto"/>
          <w:szCs w:val="21"/>
          <w:lang w:eastAsia="zh-CN"/>
        </w:rPr>
        <w:t>原测量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东营市元捷石油机械有限公司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ind w:firstLine="420" w:firstLineChars="200"/>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1、开展对合格供方和合格服务方评价，评做好有效评价记录。</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2021.6.23</w:t>
      </w:r>
    </w:p>
    <w:p>
      <w:pPr>
        <w:widowControl/>
        <w:spacing w:line="360" w:lineRule="auto"/>
        <w:rPr>
          <w:rFonts w:ascii="宋体" w:cs="宋体"/>
          <w:b/>
          <w:bCs/>
          <w:kern w:val="0"/>
          <w:szCs w:val="21"/>
        </w:rPr>
      </w:pP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66484A"/>
    <w:rsid w:val="08AF38B7"/>
    <w:rsid w:val="11FB5E19"/>
    <w:rsid w:val="145913C3"/>
    <w:rsid w:val="15415121"/>
    <w:rsid w:val="18895737"/>
    <w:rsid w:val="1C86338C"/>
    <w:rsid w:val="1D644926"/>
    <w:rsid w:val="20245D89"/>
    <w:rsid w:val="21C517C9"/>
    <w:rsid w:val="23E3439E"/>
    <w:rsid w:val="25FE255B"/>
    <w:rsid w:val="2F3769D8"/>
    <w:rsid w:val="313D2294"/>
    <w:rsid w:val="31647056"/>
    <w:rsid w:val="36BD22BD"/>
    <w:rsid w:val="38880CD0"/>
    <w:rsid w:val="3BAB649C"/>
    <w:rsid w:val="3F903830"/>
    <w:rsid w:val="4BD16FB0"/>
    <w:rsid w:val="4C1D6421"/>
    <w:rsid w:val="52D06ACC"/>
    <w:rsid w:val="548C10AE"/>
    <w:rsid w:val="553819D4"/>
    <w:rsid w:val="55846126"/>
    <w:rsid w:val="56A52AE7"/>
    <w:rsid w:val="57EE0A87"/>
    <w:rsid w:val="58175DC7"/>
    <w:rsid w:val="58362F84"/>
    <w:rsid w:val="58FA7A57"/>
    <w:rsid w:val="59C235A8"/>
    <w:rsid w:val="5AD7341B"/>
    <w:rsid w:val="5B4471AA"/>
    <w:rsid w:val="5BED2E50"/>
    <w:rsid w:val="5FB0688D"/>
    <w:rsid w:val="60FF6850"/>
    <w:rsid w:val="621134D8"/>
    <w:rsid w:val="653A413B"/>
    <w:rsid w:val="65B354C1"/>
    <w:rsid w:val="66DA4EE7"/>
    <w:rsid w:val="69443018"/>
    <w:rsid w:val="69DD4616"/>
    <w:rsid w:val="6E4A2C41"/>
    <w:rsid w:val="6F03617D"/>
    <w:rsid w:val="6FCB3BEE"/>
    <w:rsid w:val="70F168D6"/>
    <w:rsid w:val="756C46F1"/>
    <w:rsid w:val="79880B95"/>
    <w:rsid w:val="7E0A279A"/>
    <w:rsid w:val="7E17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2021-06-23T07:24:25Z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26855577654D4779AED556AE7C30A6C9</vt:lpwstr>
  </property>
</Properties>
</file>