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eastAsia="宋体"/>
          <w:b/>
          <w:color w:val="000000" w:themeColor="text1"/>
          <w:sz w:val="21"/>
          <w:szCs w:val="21"/>
          <w:lang w:eastAsia="zh-CN"/>
        </w:rPr>
      </w:pPr>
      <w:bookmarkStart w:id="16" w:name="_GoBack"/>
      <w:r>
        <w:rPr>
          <w:rFonts w:hint="eastAsia" w:eastAsia="宋体"/>
          <w:b/>
          <w:color w:val="000000" w:themeColor="text1"/>
          <w:sz w:val="21"/>
          <w:szCs w:val="21"/>
          <w:lang w:eastAsia="zh-CN"/>
        </w:rPr>
        <w:drawing>
          <wp:anchor distT="0" distB="0" distL="114300" distR="114300" simplePos="0" relativeHeight="251658240" behindDoc="0" locked="0" layoutInCell="1" allowOverlap="1">
            <wp:simplePos x="0" y="0"/>
            <wp:positionH relativeFrom="column">
              <wp:posOffset>127000</wp:posOffset>
            </wp:positionH>
            <wp:positionV relativeFrom="paragraph">
              <wp:posOffset>69850</wp:posOffset>
            </wp:positionV>
            <wp:extent cx="6186170" cy="8665845"/>
            <wp:effectExtent l="0" t="0" r="11430" b="8255"/>
            <wp:wrapSquare wrapText="bothSides"/>
            <wp:docPr id="3" name="图片 3" descr="21918db2f6aeaebccf3a11ff2b90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918db2f6aeaebccf3a11ff2b90abb"/>
                    <pic:cNvPicPr>
                      <a:picLocks noChangeAspect="1"/>
                    </pic:cNvPicPr>
                  </pic:nvPicPr>
                  <pic:blipFill>
                    <a:blip r:embed="rId5"/>
                    <a:stretch>
                      <a:fillRect/>
                    </a:stretch>
                  </pic:blipFill>
                  <pic:spPr>
                    <a:xfrm>
                      <a:off x="0" y="0"/>
                      <a:ext cx="6186170" cy="8665845"/>
                    </a:xfrm>
                    <a:prstGeom prst="rect">
                      <a:avLst/>
                    </a:prstGeom>
                  </pic:spPr>
                </pic:pic>
              </a:graphicData>
            </a:graphic>
          </wp:anchor>
        </w:drawing>
      </w:r>
      <w:bookmarkEnd w:id="16"/>
    </w:p>
    <w:p>
      <w:pPr>
        <w:spacing w:after="120" w:afterLines="50" w:line="240" w:lineRule="exact"/>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文安县谨达管业有限公司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Wen an Jin Da Pipe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河北省廊坊市文安县苏桥镇东三官村南</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065800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(英文)：South of Dongsanguan Village, Suqiao Town, Wenan County, Langfang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河北省廊坊市文安县苏桥镇东三官村南</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065800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(英文)：South of Dongsanguan Village, Suqiao Town, Wenan County, Langfang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91131026MA09904D6F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18632602996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刘腾飞</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刘腾飞</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电缆管理用刚性金属导管（金属穿线管）及配件的生产及销售</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p>
    <w:p>
      <w:pPr>
        <w:pStyle w:val="2"/>
        <w:spacing w:line="240" w:lineRule="auto"/>
        <w:ind w:firstLine="0"/>
        <w:rPr>
          <w:rFonts w:hint="eastAsia"/>
          <w:b/>
          <w:color w:val="000000" w:themeColor="text1"/>
          <w:sz w:val="22"/>
          <w:szCs w:val="22"/>
        </w:rPr>
      </w:pPr>
      <w:r>
        <w:rPr>
          <w:rFonts w:hint="eastAsia"/>
          <w:b/>
          <w:color w:val="000000" w:themeColor="text1"/>
          <w:sz w:val="22"/>
          <w:szCs w:val="22"/>
        </w:rPr>
        <w:t>Production and sale of rigid metal conduit (metal threading pipe) and accessories for cable management</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900B4C"/>
    <w:rsid w:val="439B67DB"/>
    <w:rsid w:val="71316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2021-06-27T07:10:38Z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BD10BA1064E04958A74BAAF1C01FE61F</vt:lpwstr>
  </property>
</Properties>
</file>