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91910" cy="9125585"/>
            <wp:effectExtent l="0" t="0" r="8890" b="5715"/>
            <wp:docPr id="2" name="图片 2" descr="81dc4a5806f5774296c57332ff70a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dc4a5806f5774296c57332ff70ae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912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36665" cy="9235440"/>
            <wp:effectExtent l="0" t="0" r="635" b="10160"/>
            <wp:docPr id="3" name="图片 3" descr="1bc868a51ad30eaff1af86193e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bc868a51ad30eaff1af86193e384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6665" cy="923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91910" cy="9102090"/>
            <wp:effectExtent l="0" t="0" r="8890" b="3810"/>
            <wp:docPr id="4" name="图片 4" descr="0280746ac96d9e56aa24380669555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280746ac96d9e56aa243806695554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910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91910" cy="9102090"/>
            <wp:effectExtent l="0" t="0" r="8890" b="3810"/>
            <wp:docPr id="5" name="图片 5" descr="0f421143fbe5161d7b4a7ed98e4ae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f421143fbe5161d7b4a7ed98e4ae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910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文安县谨达管业有限公司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刘腾飞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211" w:firstLineChars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未能提供运输外包方文安县宏至物流中心的供方评价记录，也没有证据对其进行了评价。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受审核方代表：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A3208E"/>
    <w:rsid w:val="3D7764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2021-06-27T07:01:39Z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