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0559-2021-QEO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宜昌市宝业建筑工业化有限公司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宜昌市伍家岗区东艳路29号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443000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宜昌市伍家岗区桔乡路489号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443000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91420500MA497TQH4U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13872450069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李昌阳</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w:t>
      </w:r>
      <w:r>
        <w:rPr>
          <w:rFonts w:hint="eastAsia"/>
          <w:b/>
          <w:color w:val="000000" w:themeColor="text1"/>
          <w:sz w:val="22"/>
          <w:szCs w:val="22"/>
          <w:lang w:val="en-US" w:eastAsia="zh-CN"/>
        </w:rPr>
        <w:t>亚</w:t>
      </w:r>
      <w:r>
        <w:rPr>
          <w:rFonts w:hint="eastAsia"/>
          <w:b/>
          <w:color w:val="000000" w:themeColor="text1"/>
          <w:sz w:val="22"/>
          <w:szCs w:val="22"/>
        </w:rPr>
        <w:t>丽</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86</w:t>
      </w:r>
      <w:bookmarkEnd w:id="12"/>
      <w:bookmarkStart w:id="16" w:name="_GoBack"/>
      <w:bookmarkEnd w:id="16"/>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Q：预拌混凝土、预制构件的生产（限资质范围内）及销售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E：预拌混凝土、预制构件的生产（限资质范围内）及销售所涉及场所的相关环境管理活动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O：预拌混凝土、预制构件的生产（限资质范围内）及销售所涉及场所的相关职业健康安全管理活动</w:t>
      </w:r>
      <w:bookmarkEnd w:id="15"/>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4129405</wp:posOffset>
            </wp:positionH>
            <wp:positionV relativeFrom="paragraph">
              <wp:posOffset>139065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r>
        <w:rPr>
          <w:rFonts w:hint="eastAsia"/>
          <w:b/>
          <w:color w:val="000000" w:themeColor="text1"/>
          <w:sz w:val="22"/>
          <w:szCs w:val="22"/>
          <w:lang w:val="en-US" w:eastAsia="zh-CN"/>
        </w:rPr>
        <w:t>2021.6.26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A552B"/>
    <w:rsid w:val="1ED27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2021-06-24T09:00:00Z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86F695B3C1FD4273BBC7EA06903EF2F4</vt:lpwstr>
  </property>
</Properties>
</file>