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0" w:firstLineChars="1200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宜昌市宝业建筑工业化有限公司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PC事业部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张亚丽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  <w:bCs w:val="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不能提供库存材料脱模剂、油漆、露骨料剂相关MSDS。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2878455</wp:posOffset>
                  </wp:positionH>
                  <wp:positionV relativeFrom="paragraph">
                    <wp:posOffset>86995</wp:posOffset>
                  </wp:positionV>
                  <wp:extent cx="847090" cy="713740"/>
                  <wp:effectExtent l="0" t="0" r="3810" b="10160"/>
                  <wp:wrapNone/>
                  <wp:docPr id="2" name="图片 2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548005</wp:posOffset>
                  </wp:positionH>
                  <wp:positionV relativeFrom="paragraph">
                    <wp:posOffset>67945</wp:posOffset>
                  </wp:positionV>
                  <wp:extent cx="847090" cy="713740"/>
                  <wp:effectExtent l="0" t="0" r="3810" b="10160"/>
                  <wp:wrapNone/>
                  <wp:docPr id="3" name="图片 3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2021.6.25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3710305</wp:posOffset>
                  </wp:positionH>
                  <wp:positionV relativeFrom="paragraph">
                    <wp:posOffset>332105</wp:posOffset>
                  </wp:positionV>
                  <wp:extent cx="847090" cy="713740"/>
                  <wp:effectExtent l="0" t="0" r="3810" b="10160"/>
                  <wp:wrapNone/>
                  <wp:docPr id="4" name="图片 4" descr="伍光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伍光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9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2021.8.6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不能提供库存材料脱模剂、油漆、露骨料剂相关MSDS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脱模剂、油漆、露骨料剂的MSDS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部门员工对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理解不透彻，不清楚相关要求</w:t>
            </w: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脱模剂、油漆、露骨料剂的MSDS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2021年8月15日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组织各部门员工自查，举一反三，以防止类似情况发生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纠正有效</w:t>
            </w: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DE3867"/>
    <w:rsid w:val="797549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2021-08-07T01:50:08Z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2052-11.1.0.10695</vt:lpwstr>
  </property>
  <property fmtid="{D5CDD505-2E9C-101B-9397-08002B2CF9AE}" pid="3" name="ICV">
    <vt:lpwstr>E126EFFE98024A88AD5EFED0CEADCC45</vt:lpwstr>
  </property>
</Properties>
</file>