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69"/>
        <w:gridCol w:w="107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8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/>
                <w:sz w:val="24"/>
                <w:szCs w:val="24"/>
              </w:rPr>
              <w:t>室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谭康</w:t>
            </w:r>
            <w:r>
              <w:rPr>
                <w:rFonts w:hint="eastAsia"/>
                <w:sz w:val="24"/>
                <w:szCs w:val="24"/>
              </w:rPr>
              <w:t xml:space="preserve">    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张亚丽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  <w:vMerge w:val="continue"/>
            <w:vAlign w:val="center"/>
          </w:tcPr>
          <w:p/>
        </w:tc>
        <w:tc>
          <w:tcPr>
            <w:tcW w:w="1169" w:type="dxa"/>
            <w:vMerge w:val="continue"/>
            <w:vAlign w:val="center"/>
          </w:tcPr>
          <w:p/>
        </w:tc>
        <w:tc>
          <w:tcPr>
            <w:tcW w:w="10738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 xml:space="preserve">审核员：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    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5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vMerge w:val="continue"/>
            <w:vAlign w:val="center"/>
          </w:tcPr>
          <w:p/>
        </w:tc>
        <w:tc>
          <w:tcPr>
            <w:tcW w:w="1169" w:type="dxa"/>
            <w:vMerge w:val="continue"/>
            <w:vAlign w:val="center"/>
          </w:tcPr>
          <w:p/>
        </w:tc>
        <w:tc>
          <w:tcPr>
            <w:tcW w:w="107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Ansi="宋体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质量目标、7.1.5监视和测量资源、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85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51" w:type="dxa"/>
          </w:tcPr>
          <w:p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询查部门及人员的职责和权限，是否与规定一致？</w:t>
            </w:r>
          </w:p>
        </w:tc>
        <w:tc>
          <w:tcPr>
            <w:tcW w:w="1169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QES5.3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S5.4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Q7.4</w:t>
            </w:r>
          </w:p>
        </w:tc>
        <w:tc>
          <w:tcPr>
            <w:tcW w:w="10738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查《管理手册》中的职能分配表和手册中规定：对职能部门和各类人员的职责和权限做了规定，同时制定了部门职责及员工岗位说明书，符合规定要求。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主管领导：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谭康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，另有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验员、检验员，具体负责产品检验与试验、不合格品控制与处理、产品放行、纠正措施控制、预防措施控制、危险源、环境因素识别及评价控制、目标指标和管理方案控制、运行控制、应急准备和响应控制、日常办公活动等，</w:t>
            </w:r>
          </w:p>
          <w:p>
            <w:pPr>
              <w:ind w:firstLine="210" w:firstLineChars="1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谭康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沟通，对本部门的责和权限比较了解，基本符合。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应对风险和机遇的措施</w:t>
            </w:r>
          </w:p>
          <w:p/>
        </w:tc>
        <w:tc>
          <w:tcPr>
            <w:tcW w:w="1169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6.1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ES6.1.1</w:t>
            </w:r>
          </w:p>
          <w:p/>
        </w:tc>
        <w:tc>
          <w:tcPr>
            <w:tcW w:w="10738" w:type="dxa"/>
          </w:tcPr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用过程方法及风险评价识别了本部门的质量、环境、职业健康安全风险及应对措施的策划，有《风险识别及措施表》、《质量管理风险、机遇及应对措施》，将需要应对的风险和机遇进行风险分析确定风险级别（一般风险、高风险），在质量管理体系所确定的过程（生产制造、合同评审过程；产品交付；顾客服务；人力资源控制等）中，整合制定针对性管理措施（如程序控制等）。</w:t>
            </w:r>
          </w:p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进行了措施有效性的评审，结果为有效，编制人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张亚丽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，审核人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李昌阳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，审核日期20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目标及其实现的策划总要求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QES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6.2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Q7.4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公司目标管理规定，规定了目标的分解及考核的具体方法，公司对质量目标进行了分解，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部门目标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drawing>
                <wp:inline distT="0" distB="0" distL="114300" distR="114300">
                  <wp:extent cx="6565900" cy="1581150"/>
                  <wp:effectExtent l="0" t="0" r="0" b="635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与方针一致，符合公司总的质量、环境、职业健康安全目标，20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 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张 亚丽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进行了统计及目标实现分析，经查，达成目标，并将管理目标完成情况在公司会议上进行通报。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环境管理方案：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提供了 编号《环境目标、指标、管理方案》， 管理方案内容包括如下：环境目标、环境指标、管理措施、完成时间、责任部门等内容。具有一定的可操作性。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抽查管理方案的实施情况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对噪声达标排放 采取措施如下：1.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建立环境保护管理规定；噪声隔离，减少接触时间；2.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加强设备维修保养润滑，减少噪声排放。完成情况：于20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月30日对生产车间进行噪声控制检查，符合要求。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对粉尘达标排放 采取措施如下：1.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建立生产现场环境保护管理制度，定时洒水、清扫；2.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原材料堆场、生产车间正在进行全覆盖工程。完成情况：于20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月30日对生产车间进行粉尘控制检查，符合要求。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职业健康安全管理方案：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编号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《职业健康安全目标及管理方案》，管理方案内容如下：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查看管理方案及实施情况：目标、对应不可接受风险、管理措施、实施时间等内容。具有一定的可操作性。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抽查管理方案的实施情况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高空坠落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采取措施如下：周边防护高处高于作业面。完成情况：于20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月30日检查生产车间安全防护到位符合要求。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职业病 采取措施如下：预防职业病，佩戴防护罩和耳塞。完成情况：于20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月30日检查生产车间，重要岗位佩戴了防护用品。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运输伤害 采取措施如下：加强司机安全教育，车辆转弯注意盲区。完成情况：于20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月30日检查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商砼事业部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车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车队司机安全意识加强，规范开车。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机械伤害 采取措施如下：为杜绝机械伤害，在设备使用前进行全面检查，制定设备安全操作规程。完成情况：于20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月30日进行了检测，规范操作。</w:t>
            </w:r>
          </w:p>
          <w:p>
            <w:pPr>
              <w:spacing w:line="360" w:lineRule="auto"/>
              <w:ind w:left="55" w:leftChars="26"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火灾爆炸 采取措施如下：加强安全教育，杜绝违规操作，定期安全生产检查。完成情况：于202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月30日检查生产车间安全防护到位符合要求。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触电 采取措施如下：加强安全教育，杜绝违规操作，，禁止乱接乱搭电线，定期安全生产检查。完成情况：于202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月30日检查生产车间规范接线，符合要求。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51" w:type="dxa"/>
          </w:tcPr>
          <w:p>
            <w:pPr>
              <w:pStyle w:val="7"/>
              <w:spacing w:line="360" w:lineRule="auto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查现场基础设施</w:t>
            </w:r>
          </w:p>
          <w:p>
            <w:pPr>
              <w:pStyle w:val="7"/>
              <w:spacing w:line="360" w:lineRule="auto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监视、测量设备</w:t>
            </w:r>
          </w:p>
        </w:tc>
        <w:tc>
          <w:tcPr>
            <w:tcW w:w="1169" w:type="dxa"/>
          </w:tcPr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Q7.1.3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7.1.5</w:t>
            </w:r>
          </w:p>
        </w:tc>
        <w:tc>
          <w:tcPr>
            <w:tcW w:w="10738" w:type="dxa"/>
          </w:tcPr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监测资源：查到“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计量器具/监视设备台账”，见电热鼓风恒温干燥箱、标准恒温恒湿养护箱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SHBY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-40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B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全自动养护室标准控制仪、水泥净浆搅拌机、水泥胶砂流动度测定仪、水泥胶砂振实台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ZT-96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水泥胶砂搅拌机、水泥细度值压筛析仪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FYS- 150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、震击式标准振筛机、数显压力试验机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YE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全自动水泥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抗折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抗压一体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YAW-3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0D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混凝土贯入阻力仪、沸煮箱、石子压碎指标测定仪、强制式混凝土搅拌机、混凝土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动台、电子计重称等。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抽查检定（校准）证书：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提供国防科技工业4311二级计量站对电子汽车衡校准证书，证书编号：HFJL2020KS08-3008，规格SCS-SZ-150，检定日期2020年8月27日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提供国防科技工业4311二级计量站对全自动水泥抗折抗压一体机校准证书，证书编号：HFJL2020KS08-3007，规格YAW-300D，检定日期2020年8月27日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提供深圳天溯计量检测股份有限公司对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混凝土电子配料秤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校准证书，证书编号：</w:t>
            </w:r>
            <w:r>
              <w:rPr>
                <w:rFonts w:hint="eastAsia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Z20202-I204230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，检定日期2020年9月24日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提供深圳天溯计量检测股份有限公司对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水泥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压筛析仪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校准证书，证书编号：</w:t>
            </w:r>
            <w:r>
              <w:rPr>
                <w:rFonts w:hint="eastAsia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Z20202-H089473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，检定日期2020年8月12日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提供深圳天溯计量检测股份有限公司对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水泥胶砂流动度测定仪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校准证书，证书编号：</w:t>
            </w:r>
            <w:r>
              <w:rPr>
                <w:rFonts w:hint="eastAsia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Z20202-H089454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，检定日期2020年8月12日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提供深圳天溯计量检测股份有限公司对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水泥胶砂搅拌机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校准证书，证书编号：</w:t>
            </w:r>
            <w:r>
              <w:rPr>
                <w:rFonts w:hint="eastAsia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Z20202-H089450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，检定日期2020年8月12日</w:t>
            </w:r>
          </w:p>
          <w:p>
            <w:pPr>
              <w:pStyle w:val="7"/>
              <w:spacing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提供深圳天溯计量检测股份有限公司对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标准恒温恒湿养护箱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SHBY</w:t>
            </w:r>
            <w:r>
              <w:rPr>
                <w:rFonts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-40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校准证书，证书编号：</w:t>
            </w:r>
            <w:r>
              <w:rPr>
                <w:rFonts w:hint="eastAsia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Z20202-H089456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，检定日期2020年8月12日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监视和测量资源搬运、储存维护满足要求，状态标识符合要求。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负责人介绍：监视和测量设备由检查员负责保管、使用，确保了仪器的正常使用。试验室人员有操作自核，持证上岗，人员证书见附件。</w:t>
            </w:r>
          </w:p>
        </w:tc>
        <w:tc>
          <w:tcPr>
            <w:tcW w:w="851" w:type="dxa"/>
          </w:tcPr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51" w:type="dxa"/>
          </w:tcPr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过程运行环境（现场观察）</w:t>
            </w:r>
          </w:p>
        </w:tc>
        <w:tc>
          <w:tcPr>
            <w:tcW w:w="1169" w:type="dxa"/>
          </w:tcPr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 xml:space="preserve">Q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7.1.4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策划并制定了《工作环境和管理要求》，现场观察办公区、生产车间环境卫生管理，工作场所布局合理，温湿度适宜，照明良好，满足办公需求。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办公区、生产车间所有灭火器，放置在规定的地方，办公场所卫生环境干净、光线充足合理。有“办公环境卫生管理制度”、“安全防火规定等规章制度”等规章制度。运行环境满足要求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经与主管人员交谈，其对本部门在本条款管理中的职责、分工和接口关系清楚掌握，基本符合文件要求。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公司定期举行旅游活动、体检，带薪休假等，已缓解员工的心理压力、过度疲劳等。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公司现场观察，公司办公场所和生产场所均环境良好，满足办公需要，无特殊环境要求。</w:t>
            </w:r>
          </w:p>
          <w:p>
            <w:pPr>
              <w:pStyle w:val="7"/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现场观察无异常。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产品的服务和放行</w:t>
            </w:r>
          </w:p>
        </w:tc>
        <w:tc>
          <w:tcPr>
            <w:tcW w:w="1169" w:type="dxa"/>
          </w:tcPr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Q8.6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S 8.1.4</w:t>
            </w:r>
          </w:p>
        </w:tc>
        <w:tc>
          <w:tcPr>
            <w:tcW w:w="10738" w:type="dxa"/>
          </w:tcPr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制定有：过程/产品服务的监视和测量控制程序对工作程序、检验分类、采购产品、半成品、成品检验和检验记录等做出了明确规定。试验室（质检）根据产品实现过程监视和测量策划的结果，按体系文件、公司规定确定的监视和测量点进行监视和测量作好监测记录，实施进货、过程和最终（成品）检验，并保持记录。见证：1、原材料进货检验规程、过程和最终（成品）检验规程，规定了检验项目、工作程序、记录要求、最终检验项目及标准等。编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谭康</w:t>
            </w:r>
            <w:r>
              <w:rPr>
                <w:rFonts w:hint="eastAsia" w:ascii="宋体" w:hAnsi="宋体" w:cs="宋体"/>
                <w:szCs w:val="21"/>
              </w:rPr>
              <w:t>。审批：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李昌阳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以上文件，由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实验</w:t>
            </w:r>
            <w:r>
              <w:rPr>
                <w:rFonts w:hint="eastAsia" w:ascii="宋体" w:hAnsi="宋体" w:cs="宋体"/>
                <w:szCs w:val="21"/>
              </w:rPr>
              <w:t>结合不同产品制定并执行。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查进货检验记录:</w:t>
            </w:r>
            <w:r>
              <w:t>--</w:t>
            </w:r>
            <w:r>
              <w:rPr>
                <w:rFonts w:hint="eastAsia"/>
                <w:b/>
                <w:bCs/>
              </w:rPr>
              <w:t>抽查进货检验记录和库房入库单</w:t>
            </w:r>
          </w:p>
          <w:p>
            <w:pPr>
              <w:ind w:left="-315" w:leftChars="-150"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抽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：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产品名称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ascii="宋体"/>
                <w:lang w:val="en-US" w:eastAsia="zh-CN"/>
              </w:rPr>
              <w:t>减水剂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型号规格</w:t>
            </w:r>
            <w:r>
              <w:rPr>
                <w:rFonts w:hint="eastAsia" w:ascii="宋体" w:hAnsi="宋体"/>
                <w:lang w:val="en-US" w:eastAsia="zh-CN"/>
              </w:rPr>
              <w:t>CSP-11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生产厂家</w:t>
            </w:r>
            <w:r>
              <w:rPr>
                <w:rFonts w:ascii="宋体"/>
              </w:rPr>
              <w:tab/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  <w:lang w:val="en-US" w:eastAsia="zh-CN"/>
              </w:rPr>
              <w:t>广东红墙</w:t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 w:hAnsi="宋体"/>
              </w:rPr>
              <w:t>生产日期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21.5.27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检验项目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规格值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测试值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固含量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宋体" w:hAnsi="宋体"/>
                <w:lang w:val="en-US" w:eastAsia="zh-CN"/>
              </w:rPr>
              <w:t>12.0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lang w:val="en-US" w:eastAsia="zh-CN"/>
              </w:rPr>
              <w:t>1.2        11.94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密度              </w:t>
            </w:r>
            <w:r>
              <w:rPr>
                <w:rFonts w:hint="eastAsia" w:ascii="宋体" w:hAnsi="宋体"/>
                <w:lang w:val="en-US" w:eastAsia="zh-CN"/>
              </w:rPr>
              <w:t>1.040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lang w:val="en-US" w:eastAsia="zh-CN"/>
              </w:rPr>
              <w:t>0.02       1.046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减水率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大于14%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25.1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验证结论：符合</w:t>
            </w:r>
            <w:r>
              <w:rPr>
                <w:rFonts w:hint="eastAsia" w:ascii="宋体" w:hAnsi="宋体"/>
                <w:lang w:val="en-US" w:eastAsia="zh-CN"/>
              </w:rPr>
              <w:t>GB8076</w:t>
            </w:r>
            <w:r>
              <w:rPr>
                <w:rFonts w:hint="eastAsia" w:ascii="宋体" w:hAnsi="宋体"/>
              </w:rPr>
              <w:t>-200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要求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检验员：</w:t>
            </w:r>
            <w:r>
              <w:rPr>
                <w:rFonts w:hint="eastAsia" w:ascii="宋体" w:hAnsi="宋体"/>
                <w:lang w:val="en-US" w:eastAsia="zh-CN"/>
              </w:rPr>
              <w:t>张颖超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21.5.27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校核：</w:t>
            </w:r>
            <w:r>
              <w:rPr>
                <w:rFonts w:hint="eastAsia" w:ascii="宋体" w:hAnsi="宋体"/>
                <w:lang w:val="en-US" w:eastAsia="zh-CN"/>
              </w:rPr>
              <w:t>朱海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21.5.27</w:t>
            </w:r>
          </w:p>
          <w:p>
            <w:pPr>
              <w:ind w:left="-315" w:leftChars="-150" w:firstLine="632" w:firstLineChars="300"/>
              <w:rPr>
                <w:rFonts w:ascii="宋体"/>
                <w:b/>
                <w:bCs/>
              </w:rPr>
            </w:pPr>
          </w:p>
          <w:p>
            <w:pPr>
              <w:ind w:left="-315" w:leftChars="-150" w:firstLine="632" w:firstLineChars="300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抽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原材料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外购件</w:t>
            </w:r>
            <w:r>
              <w:rPr>
                <w:rFonts w:ascii="宋体" w:hAnsi="宋体"/>
              </w:rPr>
              <w:t xml:space="preserve">) 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检验记录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产品名称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混合砂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型号规格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    </w:t>
            </w:r>
            <w:r>
              <w:rPr>
                <w:rFonts w:hint="eastAsia" w:ascii="宋体" w:hAnsi="宋体"/>
              </w:rPr>
              <w:t>中砂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生产厂家</w:t>
            </w:r>
            <w:r>
              <w:rPr>
                <w:rFonts w:ascii="宋体"/>
              </w:rPr>
              <w:tab/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  <w:lang w:val="en-US" w:eastAsia="zh-CN"/>
              </w:rPr>
              <w:t>宜昌王家坪</w:t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 w:hAnsi="宋体"/>
              </w:rPr>
              <w:t>生产日期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21.5.29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检验项目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规格值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测试值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细度模</w:t>
            </w:r>
            <w:r>
              <w:rPr>
                <w:rFonts w:hint="eastAsia" w:ascii="宋体" w:hAnsi="宋体"/>
                <w:lang w:val="en-US" w:eastAsia="zh-CN"/>
              </w:rPr>
              <w:t>数</w:t>
            </w:r>
            <w:r>
              <w:rPr>
                <w:rFonts w:hint="eastAsia" w:ascii="宋体" w:hAnsi="宋体"/>
              </w:rPr>
              <w:t xml:space="preserve">                        2.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泥块含量试验        ≤1.0%        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石粉含量                         1.5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压碎值指标                       11.1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验证结论：符合JGT52-2006要求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检验员：</w:t>
            </w:r>
            <w:r>
              <w:rPr>
                <w:rFonts w:hint="eastAsia" w:ascii="宋体" w:hAnsi="宋体"/>
                <w:lang w:val="en-US" w:eastAsia="zh-CN"/>
              </w:rPr>
              <w:t>李肖耀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21.5.29</w:t>
            </w:r>
          </w:p>
          <w:p>
            <w:pPr>
              <w:ind w:left="-315" w:leftChars="-150" w:firstLine="630" w:firstLineChars="3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校核：</w:t>
            </w:r>
            <w:r>
              <w:rPr>
                <w:rFonts w:hint="eastAsia" w:ascii="宋体" w:hAnsi="宋体"/>
                <w:lang w:val="en-US" w:eastAsia="zh-CN"/>
              </w:rPr>
              <w:t>朱海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21.5.29</w:t>
            </w:r>
          </w:p>
          <w:p>
            <w:pPr>
              <w:ind w:left="-315" w:leftChars="-150" w:firstLine="632" w:firstLineChars="300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抽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3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原材料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外购件</w:t>
            </w:r>
            <w:r>
              <w:rPr>
                <w:rFonts w:ascii="宋体" w:hAnsi="宋体"/>
              </w:rPr>
              <w:t xml:space="preserve">) 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检验记录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产品名称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水泥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型号规格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   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生产厂家</w:t>
            </w:r>
            <w:r>
              <w:rPr>
                <w:rFonts w:ascii="宋体"/>
              </w:rPr>
              <w:tab/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  <w:lang w:val="en-US" w:eastAsia="zh-CN"/>
              </w:rPr>
              <w:t>华新水泥</w:t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生产日期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21.5.21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检验项目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规格值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测试值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抗</w:t>
            </w:r>
            <w:r>
              <w:rPr>
                <w:rFonts w:hint="eastAsia" w:ascii="宋体" w:hAnsi="宋体"/>
                <w:lang w:val="en-US" w:eastAsia="zh-CN"/>
              </w:rPr>
              <w:t>折</w:t>
            </w:r>
            <w:r>
              <w:rPr>
                <w:rFonts w:hint="eastAsia" w:ascii="宋体" w:hAnsi="宋体"/>
              </w:rPr>
              <w:t>强度</w:t>
            </w:r>
            <w:r>
              <w:rPr>
                <w:rFonts w:hint="eastAsia" w:ascii="宋体" w:hAnsi="宋体"/>
                <w:lang w:val="en-US" w:eastAsia="zh-CN"/>
              </w:rPr>
              <w:t>(28天)</w:t>
            </w:r>
            <w:r>
              <w:rPr>
                <w:rFonts w:hint="eastAsia" w:ascii="宋体" w:hAnsi="宋体"/>
              </w:rPr>
              <w:t xml:space="preserve">       ≥4.0      </w:t>
            </w:r>
            <w:r>
              <w:rPr>
                <w:rFonts w:hint="eastAsia" w:ascii="宋体" w:hAnsi="宋体"/>
                <w:lang w:val="en-US" w:eastAsia="zh-CN"/>
              </w:rPr>
              <w:t>8.0</w:t>
            </w:r>
            <w:r>
              <w:rPr>
                <w:rFonts w:hint="eastAsia" w:ascii="宋体" w:hAnsi="宋体"/>
              </w:rPr>
              <w:t>mpa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抗压强度 </w:t>
            </w:r>
            <w:r>
              <w:rPr>
                <w:rFonts w:hint="eastAsia" w:ascii="宋体" w:hAnsi="宋体"/>
                <w:lang w:val="en-US" w:eastAsia="zh-CN"/>
              </w:rPr>
              <w:t>(28天)</w:t>
            </w:r>
            <w:r>
              <w:rPr>
                <w:rFonts w:hint="eastAsia" w:ascii="宋体" w:hAnsi="宋体"/>
              </w:rPr>
              <w:t xml:space="preserve">            ≥</w:t>
            </w:r>
            <w:r>
              <w:rPr>
                <w:rFonts w:hint="eastAsia" w:ascii="宋体" w:hAnsi="宋体"/>
                <w:lang w:val="en-US" w:eastAsia="zh-CN"/>
              </w:rPr>
              <w:t>42.5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hint="eastAsia" w:ascii="宋体" w:hAnsi="宋体"/>
                <w:lang w:val="en-US" w:eastAsia="zh-CN"/>
              </w:rPr>
              <w:t>57.0</w:t>
            </w:r>
            <w:r>
              <w:rPr>
                <w:rFonts w:hint="eastAsia" w:ascii="宋体" w:hAnsi="宋体"/>
              </w:rPr>
              <w:t xml:space="preserve"> mpa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验证结论：合格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检验员：</w:t>
            </w:r>
            <w:r>
              <w:rPr>
                <w:rFonts w:hint="eastAsia" w:ascii="宋体" w:hAnsi="宋体"/>
                <w:lang w:val="en-US" w:eastAsia="zh-CN"/>
              </w:rPr>
              <w:t>张颖超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21.5.22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校核：</w:t>
            </w:r>
            <w:r>
              <w:rPr>
                <w:rFonts w:hint="eastAsia" w:ascii="宋体" w:hAnsi="宋体"/>
                <w:lang w:val="en-US" w:eastAsia="zh-CN"/>
              </w:rPr>
              <w:t>朱海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21.5.22</w:t>
            </w:r>
          </w:p>
          <w:p>
            <w:pPr>
              <w:ind w:left="-315" w:leftChars="-150" w:firstLine="632" w:firstLineChars="300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抽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4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原材料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外购件</w:t>
            </w:r>
            <w:r>
              <w:rPr>
                <w:rFonts w:ascii="宋体" w:hAnsi="宋体"/>
              </w:rPr>
              <w:t xml:space="preserve">) 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检验记录</w:t>
            </w:r>
          </w:p>
          <w:p>
            <w:pPr>
              <w:ind w:left="-315" w:leftChars="-150" w:firstLine="63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产品名称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粉煤灰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型号规格</w:t>
            </w:r>
            <w:r>
              <w:rPr>
                <w:rFonts w:hint="eastAsia" w:ascii="宋体" w:hAnsi="宋体"/>
                <w:lang w:val="en-US" w:eastAsia="zh-CN"/>
              </w:rPr>
              <w:t xml:space="preserve">   二级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   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生产厂家</w:t>
            </w:r>
            <w:r>
              <w:rPr>
                <w:rFonts w:ascii="宋体"/>
              </w:rPr>
              <w:tab/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  <w:lang w:val="en-US" w:eastAsia="zh-CN"/>
              </w:rPr>
              <w:t>宜昌市龙聚</w:t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生产日期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21.5.4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检验项目</w:t>
            </w:r>
            <w:r>
              <w:rPr>
                <w:rFonts w:ascii="宋体"/>
              </w:rPr>
              <w:tab/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规格值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 w:hAnsi="宋体"/>
              </w:rPr>
              <w:t>测试值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细度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>≤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 15.0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需水量比</w:t>
            </w:r>
            <w:r>
              <w:rPr>
                <w:rFonts w:hint="eastAsia" w:ascii="宋体" w:hAnsi="宋体"/>
              </w:rPr>
              <w:t xml:space="preserve">           ≤</w:t>
            </w:r>
            <w:r>
              <w:rPr>
                <w:rFonts w:hint="eastAsia" w:ascii="宋体" w:hAnsi="宋体"/>
                <w:lang w:val="en-US" w:eastAsia="zh-CN"/>
              </w:rPr>
              <w:t>105        104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烧失量             </w:t>
            </w:r>
            <w:r>
              <w:rPr>
                <w:rFonts w:hint="eastAsia" w:ascii="宋体" w:hAnsi="宋体"/>
              </w:rPr>
              <w:t xml:space="preserve"> ≤</w:t>
            </w:r>
            <w:r>
              <w:rPr>
                <w:rFonts w:hint="eastAsia" w:ascii="宋体" w:hAnsi="宋体"/>
                <w:lang w:val="en-US" w:eastAsia="zh-CN"/>
              </w:rPr>
              <w:t>8        5.38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含水量               </w:t>
            </w:r>
            <w:r>
              <w:rPr>
                <w:rFonts w:hint="eastAsia" w:ascii="宋体" w:hAnsi="宋体"/>
              </w:rPr>
              <w:t xml:space="preserve"> ≤</w:t>
            </w:r>
            <w:r>
              <w:rPr>
                <w:rFonts w:hint="eastAsia" w:ascii="宋体" w:hAnsi="宋体"/>
                <w:lang w:val="en-US" w:eastAsia="zh-CN"/>
              </w:rPr>
              <w:t xml:space="preserve">1        0.2 </w:t>
            </w: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验证结论：合格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检验员：</w:t>
            </w:r>
            <w:r>
              <w:rPr>
                <w:rFonts w:hint="eastAsia" w:ascii="宋体" w:hAnsi="宋体"/>
                <w:lang w:val="en-US" w:eastAsia="zh-CN"/>
              </w:rPr>
              <w:t>张颖超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21.5.4</w:t>
            </w:r>
          </w:p>
          <w:p>
            <w:pPr>
              <w:ind w:left="-315" w:leftChars="-150" w:firstLine="630" w:firstLineChars="30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校核：</w:t>
            </w:r>
            <w:r>
              <w:rPr>
                <w:rFonts w:hint="eastAsia" w:ascii="宋体" w:hAnsi="宋体"/>
                <w:lang w:val="en-US" w:eastAsia="zh-CN"/>
              </w:rPr>
              <w:t>朱海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21.5.4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原材料经检测过磅后，由库管</w:t>
            </w:r>
            <w:r>
              <w:rPr>
                <w:rFonts w:hint="eastAsia" w:ascii="宋体" w:hAnsi="宋体"/>
                <w:lang w:val="en-US" w:eastAsia="zh-CN"/>
              </w:rPr>
              <w:t>廖桂华</w:t>
            </w:r>
            <w:r>
              <w:rPr>
                <w:rFonts w:hint="eastAsia" w:ascii="宋体" w:hAnsi="宋体"/>
              </w:rPr>
              <w:t>验收签字，存放在指定堆场。</w:t>
            </w:r>
          </w:p>
          <w:p>
            <w:pPr>
              <w:ind w:left="-315" w:leftChars="-150" w:firstLine="630" w:firstLineChars="300"/>
              <w:rPr>
                <w:rFonts w:ascii="宋体" w:hAnsi="宋体"/>
              </w:rPr>
            </w:pPr>
          </w:p>
          <w:p>
            <w:pPr>
              <w:ind w:left="-315" w:leftChars="-150" w:firstLine="632" w:firstLineChars="300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抽查</w:t>
            </w:r>
            <w:r>
              <w:rPr>
                <w:rFonts w:hint="eastAsia" w:ascii="宋体" w:hAnsi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</w:rPr>
              <w:t>份</w:t>
            </w:r>
            <w:r>
              <w:rPr>
                <w:rFonts w:hint="eastAsia" w:ascii="宋体" w:hAnsi="宋体"/>
                <w:b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lang w:val="en-US" w:eastAsia="zh-CN"/>
              </w:rPr>
              <w:t>碱水剂、煤灰、水泥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  <w:r>
              <w:rPr>
                <w:rFonts w:hint="eastAsia" w:ascii="宋体" w:hAnsi="宋体"/>
                <w:b/>
              </w:rPr>
              <w:t>第三方对原材料</w:t>
            </w:r>
            <w:r>
              <w:rPr>
                <w:rFonts w:hint="eastAsia" w:ascii="宋体" w:hAnsi="宋体"/>
                <w:b/>
                <w:lang w:val="en-US" w:eastAsia="zh-CN"/>
              </w:rPr>
              <w:t>合格证书</w:t>
            </w:r>
          </w:p>
          <w:p>
            <w:pPr>
              <w:ind w:left="-315" w:leftChars="-150" w:firstLine="632" w:firstLineChars="300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drawing>
                <wp:inline distT="0" distB="0" distL="114300" distR="114300">
                  <wp:extent cx="1054735" cy="1407160"/>
                  <wp:effectExtent l="0" t="0" r="12065" b="2540"/>
                  <wp:docPr id="31" name="图片 31" descr="5000c0d79241564adbdee73cb4e17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000c0d79241564adbdee73cb4e17c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/>
                <w:lang w:eastAsia="zh-CN"/>
              </w:rPr>
              <w:drawing>
                <wp:inline distT="0" distB="0" distL="114300" distR="114300">
                  <wp:extent cx="1036320" cy="1382395"/>
                  <wp:effectExtent l="0" t="0" r="5080" b="1905"/>
                  <wp:docPr id="32" name="图片 32" descr="de3b9afe69e85248352ecdfdaf552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de3b9afe69e85248352ecdfdaf5522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/>
                <w:lang w:eastAsia="zh-CN"/>
              </w:rPr>
              <w:drawing>
                <wp:inline distT="0" distB="0" distL="114300" distR="114300">
                  <wp:extent cx="1031875" cy="1376045"/>
                  <wp:effectExtent l="0" t="0" r="9525" b="8255"/>
                  <wp:docPr id="33" name="图片 33" descr="f9258a67de3a01c32186b15b5c5dd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f9258a67de3a01c32186b15b5c5ddd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采购进货检验中发现的不合格品，由采购部负责退回供应商，目前，公司的供应商比较稳定，产品质量达到公司的质量要求，未出现采购不合格的情况。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过程/出厂检验标准：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混凝土搅拌系统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生产操作作业规程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混凝土搅拌系统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洗机操作作业规程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混凝土搅拌系统配料、称量作业规程（包括配料参数设定、配料秤标定）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混凝土搅拌系统 软件调用、维护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搅拌主机操作规程（维护、保养）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外加剂泵操作规程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污水处理系统维护</w:t>
            </w:r>
          </w:p>
          <w:p>
            <w:pPr>
              <w:pStyle w:val="17"/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预拌混凝土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GB14902</w:t>
            </w:r>
          </w:p>
          <w:p>
            <w:pPr>
              <w:pStyle w:val="17"/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混凝土质量控制标准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GB50164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混凝土强度检验评定标准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GB/T 50107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普通混凝土配合比设计规程JGJ55-2011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普通混凝土拌和物性能试验方法标准GB/T50080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普通混凝土力学性能试验方法标准GB/T50081-2002 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普通混凝土长期性能和耐久性能试验方法标准GB/T50082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DGQC03建筑用卵石、碎石检验规程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DG/QC04砼外加剂试验方法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DGQC05砼外加剂匀质性试验方法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DGQC06用于水泥和混凝土中的粉煤灰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DGQ07粒化高炉矿渣粉性指数及流动比的测定</w:t>
            </w:r>
          </w:p>
          <w:p>
            <w:p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DGQC08混凝士配合比设计实验规程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DGOC09混凝土坍落度的测定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DGQC010混凝土表观密度实验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DGQC01普通砼力学性能实验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DGQC012混凝土及原材料抽样方法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DGOC013普通混凝土长期性能和耐久性实验方法标准等。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抽混凝土立方体试件挤压强度检验报告，工程名称：梅花小学，使用部位：垫层，设计强度等级：C15，检验结果：24.6MPA（抗压强度值）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抽混凝土立方体试件挤压强度检验报告，工程名称：老旧小区改造，使用部位：8#楼刚性屋面，设计强度等级：C20，检验结果：25.5MPA（抗压强度值）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抽混凝土立方体试件挤压强度检验报告，工程名称：长投清能，使用部位：二构，设计强度等级：C25，检验结果：35.4MPA（抗压强度值）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抽混凝土立方体试件挤压强度检验报告，工程名称：长投清能，使用部位：墙体板梁，设计强度等级：C30，检验结果：47.5MPA（抗压强度值）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left="420" w:leftChars="20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抽混凝土立方体试件挤压强度检验报告，工程名称：山水如画，使用部位：结构梁板梯，设计强度等级：C35，检验结果：42.8MPA（抗压强度值）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、查混凝土生产实现关键过程——混凝土配比设计检验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  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等，    检验环境温度：20℃    养护方法：标养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混凝土设计强度等级：C15 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-6985</wp:posOffset>
                  </wp:positionV>
                  <wp:extent cx="1582420" cy="2109470"/>
                  <wp:effectExtent l="0" t="0" r="11430" b="5080"/>
                  <wp:wrapNone/>
                  <wp:docPr id="34" name="图片 34" descr="ed1d0755ad01ef17be9315ada2529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ed1d0755ad01ef17be9315ada25299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82420" cy="210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原材料设计配合比(备注：配合比中的沙、石均为干燥状态的用量)：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等，    检验环境温度：20℃    养护方法：标养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混凝土设计强度等级：C20  塌落度：180±20mm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原材料设计配合比(备注：配合比中的沙、石均为干燥状态的用量)：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-255270</wp:posOffset>
                  </wp:positionV>
                  <wp:extent cx="1635760" cy="2181860"/>
                  <wp:effectExtent l="0" t="0" r="2540" b="2540"/>
                  <wp:wrapNone/>
                  <wp:docPr id="35" name="图片 35" descr="eb302cc16ba5876745aa31fad7ecc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eb302cc16ba5876745aa31fad7ecc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35760" cy="218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混凝土设计强度等级：C25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13970</wp:posOffset>
                  </wp:positionV>
                  <wp:extent cx="1501140" cy="2001520"/>
                  <wp:effectExtent l="0" t="0" r="5080" b="10160"/>
                  <wp:wrapNone/>
                  <wp:docPr id="36" name="图片 36" descr="cb3e73457949cafb710b5ba74c63d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b3e73457949cafb710b5ba74c63de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01140" cy="200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原材料设计配合比(备注：配合比中的沙、石均为干燥状态的用量)：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抽4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混凝土设计强度等级：C30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塌落度：180±20mm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原材料设计配合比：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20955</wp:posOffset>
                  </wp:positionV>
                  <wp:extent cx="1473200" cy="1964690"/>
                  <wp:effectExtent l="0" t="0" r="3810" b="0"/>
                  <wp:wrapNone/>
                  <wp:docPr id="37" name="图片 37" descr="5f3d1e82173b2e8bbaddafc84135f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5f3d1e82173b2e8bbaddafc84135fe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3200" cy="196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每平方混凝土材料用量kg(备注：配合比中的沙、石均为干燥状态的用量)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混凝土设计强度等级：C35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15875</wp:posOffset>
                  </wp:positionV>
                  <wp:extent cx="1459230" cy="1945640"/>
                  <wp:effectExtent l="0" t="0" r="10160" b="1270"/>
                  <wp:wrapNone/>
                  <wp:docPr id="38" name="图片 38" descr="787f93e108634d5903f414b4c9b4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787f93e108634d5903f414b4c9b498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5923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原材料设计配合比(备注：配合比中的沙、石均为干燥状态的用量)：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混凝土设计强度等级：C40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-15240</wp:posOffset>
                  </wp:positionV>
                  <wp:extent cx="1623695" cy="2164715"/>
                  <wp:effectExtent l="0" t="0" r="6985" b="1905"/>
                  <wp:wrapNone/>
                  <wp:docPr id="39" name="图片 39" descr="0f1a0d7e0a9721b9e04caef97785f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0f1a0d7e0a9721b9e04caef97785f4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23695" cy="216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混凝土设计强度等级：C45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38735</wp:posOffset>
                  </wp:positionV>
                  <wp:extent cx="1475105" cy="1967230"/>
                  <wp:effectExtent l="0" t="0" r="1270" b="10795"/>
                  <wp:wrapNone/>
                  <wp:docPr id="40" name="图片 40" descr="799fccb4d112d3b10fd55de529ea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799fccb4d112d3b10fd55de529ea59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5105" cy="196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抽8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标准依据：JGJ55-2011   检验设备：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数显压力试验机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YAW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- 200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等，    检验环境温度：20℃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养护方法：标养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混凝土设计强度等级：C50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塌落度：180±20mm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技术负责：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朱海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校核：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陶金友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验算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谭康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24130</wp:posOffset>
                  </wp:positionV>
                  <wp:extent cx="1325880" cy="1767840"/>
                  <wp:effectExtent l="0" t="0" r="10160" b="7620"/>
                  <wp:wrapNone/>
                  <wp:docPr id="41" name="图片 41" descr="799fccb4d112d3b10fd55de529ea5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799fccb4d112d3b10fd55de529ea59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2588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原材料设计配合比(备注：配合比中的沙、石均为干燥状态的用量)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同时还抽查了相对应的混凝土配合比设计检验原始记录，基本符合要求。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drawing>
                <wp:inline distT="0" distB="0" distL="114300" distR="114300">
                  <wp:extent cx="2059940" cy="2747010"/>
                  <wp:effectExtent l="0" t="0" r="10160" b="8890"/>
                  <wp:docPr id="42" name="图片 42" descr="b533d5740640dc0fc0b576cc6535c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b533d5740640dc0fc0b576cc6535c2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940" cy="274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drawing>
                <wp:inline distT="0" distB="0" distL="114300" distR="114300">
                  <wp:extent cx="2055495" cy="2741295"/>
                  <wp:effectExtent l="0" t="0" r="1905" b="1905"/>
                  <wp:docPr id="43" name="图片 43" descr="3642e279580b2273566c591ade8a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3642e279580b2273566c591ade8a99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drawing>
                <wp:inline distT="0" distB="0" distL="114300" distR="114300">
                  <wp:extent cx="2055495" cy="2741930"/>
                  <wp:effectExtent l="0" t="0" r="1905" b="1270"/>
                  <wp:docPr id="44" name="图片 44" descr="a22dca7df65d2b6df604b8a75a2dd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a22dca7df65d2b6df604b8a75a2dd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274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</w:rPr>
              <w:t>5、抽查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</w:rPr>
              <w:t>出厂检验记录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val="en-US" w:eastAsia="zh-CN"/>
              </w:rPr>
              <w:t>预拌混凝土出厂证明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lang w:eastAsia="zh-CN"/>
              </w:rPr>
              <w:t>）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抽1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施工部位：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防水保护层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C15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工程名称：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长投清能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21.8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MPa 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抽2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施工部位：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道路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C20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老旧小区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22.2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MPa   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抽3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施工部位：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二构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C25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长投清能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32.3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MPa 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抽4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施工部位：梁板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C30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工程名称：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梅花小学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32.9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MPa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抽5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施工部位：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地下室设备基础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C35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工程名称：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兴发集团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40.1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MPa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抽6 </w:t>
            </w:r>
            <w:r>
              <w:rPr>
                <w:rFonts w:hint="eastAsia" w:ascii="宋体" w:hAnsi="宋体" w:cs="宋体"/>
                <w:szCs w:val="21"/>
              </w:rPr>
              <w:t>执行标准：GB50204.GB/T14902.GB/T50080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检验日期：20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养护地点：施工现场标养室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混凝土试件尺寸（mm）100*100*100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施工部位：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顶板梁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强度等级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C40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工程名称：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兴发集团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</w:t>
            </w:r>
          </w:p>
          <w:p>
            <w:pPr>
              <w:numPr>
                <w:ilvl w:val="3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实测结果：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50.9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MPa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6、第三方检验报告：</w: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893570" cy="2525395"/>
                  <wp:effectExtent l="0" t="0" r="11430" b="1905"/>
                  <wp:docPr id="3" name="图片 3" descr="f58a407b6f232a08a3c90e2bf2c77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58a407b6f232a08a3c90e2bf2c772f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52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883410" cy="2512060"/>
                  <wp:effectExtent l="0" t="0" r="8890" b="2540"/>
                  <wp:docPr id="4" name="图片 4" descr="bbbb1f944bc9da085b37cf3f4baf8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bbb1f944bc9da085b37cf3f4baf8c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25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866265" cy="2491105"/>
                  <wp:effectExtent l="0" t="0" r="635" b="10795"/>
                  <wp:docPr id="5" name="图片 5" descr="77626a179dc59cc3e2bcebb7d51ff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7626a179dc59cc3e2bcebb7d51ff6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249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3841115</wp:posOffset>
                  </wp:positionH>
                  <wp:positionV relativeFrom="paragraph">
                    <wp:posOffset>52070</wp:posOffset>
                  </wp:positionV>
                  <wp:extent cx="1911985" cy="2548890"/>
                  <wp:effectExtent l="0" t="0" r="5715" b="3810"/>
                  <wp:wrapNone/>
                  <wp:docPr id="8" name="图片 8" descr="789b9c76c88f4b65fbd125bd1885a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89b9c76c88f4b65fbd125bd1885ad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54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64770</wp:posOffset>
                  </wp:positionV>
                  <wp:extent cx="1893570" cy="2525395"/>
                  <wp:effectExtent l="0" t="0" r="11430" b="1905"/>
                  <wp:wrapNone/>
                  <wp:docPr id="7" name="图片 7" descr="9f8a4ccba7f80d40b1f8edfb4634d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f8a4ccba7f80d40b1f8edfb4634d3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52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77470</wp:posOffset>
                  </wp:positionV>
                  <wp:extent cx="1912620" cy="2550795"/>
                  <wp:effectExtent l="0" t="0" r="5080" b="1905"/>
                  <wp:wrapNone/>
                  <wp:docPr id="6" name="图片 6" descr="d05758af658250288d4c6d1cf879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05758af658250288d4c6d1cf87952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8439"/>
              </w:tabs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ab/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tabs>
                <w:tab w:val="left" w:pos="3199"/>
                <w:tab w:val="left" w:pos="6279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ab/>
            </w:r>
          </w:p>
          <w:p>
            <w:pPr>
              <w:tabs>
                <w:tab w:val="left" w:pos="8079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ab/>
            </w:r>
          </w:p>
          <w:p>
            <w:pPr>
              <w:tabs>
                <w:tab w:val="left" w:pos="2849"/>
              </w:tabs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产品交付后，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营销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部为归口部门，详见销售部检查表。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1" w:type="dxa"/>
          </w:tcPr>
          <w:p>
            <w:r>
              <w:rPr>
                <w:rFonts w:hint="eastAsia"/>
              </w:rPr>
              <w:t>不合格输出的控制</w:t>
            </w:r>
          </w:p>
        </w:tc>
        <w:tc>
          <w:tcPr>
            <w:tcW w:w="1169" w:type="dxa"/>
          </w:tcPr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Q8.7</w:t>
            </w:r>
          </w:p>
          <w:p/>
        </w:tc>
        <w:tc>
          <w:tcPr>
            <w:tcW w:w="10738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1、公司制定有《不合格品控制程序》，以实施对生产全过程不合格品处置的控制。生产过程中未发现不合格，倘若发生，执行《不合格品控制程序》。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采购材料发现不合格时，通知采购人员，对不合格的采购材料进行隔离，一般情况下进行退货处理，未发生过让步使用的情况。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 经了解，未发生让步接收的情况。</w:t>
            </w:r>
          </w:p>
          <w:p>
            <w:r>
              <w:rPr>
                <w:rFonts w:hint="eastAsia" w:ascii="宋体" w:hAnsi="宋体" w:cs="宋体"/>
                <w:szCs w:val="21"/>
              </w:rPr>
              <w:t>3、经了解，目前尚未发生交付后或使用后才发现的产品不合格情况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51" w:type="dxa"/>
          </w:tcPr>
          <w:p>
            <w:r>
              <w:rPr>
                <w:rFonts w:hint="eastAsia"/>
              </w:rPr>
              <w:t>监视、测量、分析、评价</w:t>
            </w:r>
          </w:p>
        </w:tc>
        <w:tc>
          <w:tcPr>
            <w:tcW w:w="1169" w:type="dxa"/>
          </w:tcPr>
          <w:p>
            <w:pPr>
              <w:spacing w:line="360" w:lineRule="auto"/>
              <w:ind w:left="310" w:hanging="310" w:hangingChars="147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Q9.1</w:t>
            </w:r>
          </w:p>
          <w:p>
            <w:pPr>
              <w:spacing w:line="360" w:lineRule="auto"/>
              <w:ind w:left="310" w:hanging="310" w:hangingChars="147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ES9.1.1</w:t>
            </w:r>
          </w:p>
          <w:p>
            <w:pPr>
              <w:spacing w:line="360" w:lineRule="auto"/>
              <w:ind w:left="310" w:hanging="310" w:hangingChars="147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Q9.1.3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/>
        </w:tc>
        <w:tc>
          <w:tcPr>
            <w:tcW w:w="10738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 查到《质量手册》，规定了有关数据分析评价的内容，符合标准要求。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负责人回答：对数据分析评价的方法和内容进行规定。经了解，试验室（质检）常用数据分析方法主要有直方图、因果分析、鱼刺图、排列图、对策表等法。所收集信息包括材料供方、顾客满意率、产品质量等。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 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查到目标指标的完成情况，形成了相关的材料证实，并输入到了管理评审中。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以上统计技术的应用和数据分析的实施情况证实，基本符合标准要求，均实施了有效性的评价，通过数据分析，为质量管理体系有关过程的改进提供机会。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51" w:type="dxa"/>
          </w:tcPr>
          <w:p>
            <w:pPr>
              <w:tabs>
                <w:tab w:val="left" w:pos="9720"/>
                <w:tab w:val="left" w:pos="9900"/>
              </w:tabs>
              <w:spacing w:beforeLines="20" w:afterLines="2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事件调查、不符合、纠正措施和预防措施</w:t>
            </w:r>
          </w:p>
          <w:p>
            <w:pPr>
              <w:tabs>
                <w:tab w:val="left" w:pos="9720"/>
                <w:tab w:val="left" w:pos="9900"/>
              </w:tabs>
              <w:spacing w:beforeLines="20" w:afterLines="2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9720"/>
                <w:tab w:val="left" w:pos="9900"/>
              </w:tabs>
              <w:spacing w:beforeLines="20" w:afterLines="2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持续改进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ind w:left="310" w:hanging="310" w:hangingChars="147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QES10.2</w:t>
            </w:r>
          </w:p>
          <w:p>
            <w:pPr>
              <w:spacing w:line="360" w:lineRule="auto"/>
              <w:ind w:left="310" w:hanging="310" w:hangingChars="147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ES10.3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验室对已经识别的一般比较轻微问题或不符合采取纠正的办法，比较有影响或典型的问题则采取纠正措施予以控制。根据以往的经验或者针对施工过程的现场管理要求、安全及环保要求识别和确定潜在的不符合，有针对性地制定预防措施。使试验室管理和员工健康得到重视或关注。公司的试验室通过班前会、安全技术交底活动、工地现场会的形式贯彻实施预防措施，实施的效果比较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查到《不符合纠正措施控制程序》，见程序文件确定的纠正/预防措施的控制的职责和相关的管理要求，覆盖标准要求，体系建立以来未发生更改变化，基本符合。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见《环境、安全检查记录》，检查内容包括加工/生活/办公区域卫生情况,是否清理干净;危废收集处理情况;操作工配戴劳动防护用品情况；操作工是否按设备操作规程作业。电工持证上岗情况；生产安全用电情况；用电是否有乱搭线现象;接地保护是否完好；消防设施是否完好;消防通道是否畅通。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经了解，所有措施没有引发在策划期间确定的风险和机遇的更新，也没有引发质量管理体系的变更，实施情况基本符合标准的要求。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51" w:type="dxa"/>
          </w:tcPr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环境因素的识别、评价；危险源辨识、风险评价和控制措施的确定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ES6.1.2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ES6.1.4</w:t>
            </w:r>
          </w:p>
        </w:tc>
        <w:tc>
          <w:tcPr>
            <w:tcW w:w="10738" w:type="dxa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公司制订《环境因素识别与评价控制程序》和《危险源识别与风险评价控制程序》，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商砼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部根据混凝土生产过程及工作特点对涉及的环境因素、危险源进行了识别和辨识。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在公司编制的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环境因素识别与评价控制程序</w:t>
            </w:r>
            <w:r>
              <w:rPr>
                <w:rFonts w:asciiTheme="minorEastAsia" w:hAnsiTheme="minorEastAsia" w:eastAsiaTheme="minorEastAsia" w:cstheme="minorEastAsia"/>
                <w:bCs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中，对环境因素识别和评价的目的、职责、工作程序和记录的要求均有明确的规定。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查到《环境因素识别评价表》：已识别生产部（包括车队）的环境因素产生过程包括：原材料进场、砂石上料、混凝土搅拌、设备、空压机、混凝土运输、设备维修、办公用车的使用</w:t>
            </w:r>
            <w:r>
              <w:rPr>
                <w:rFonts w:hint="eastAsia" w:ascii="宋体" w:hAnsi="宋体" w:cs="宋体"/>
                <w:kern w:val="0"/>
                <w:szCs w:val="21"/>
              </w:rPr>
              <w:t>等过程中粉尘的排放，噪声的排放，能源的消耗，废水、废渣的排放、固废的废弃等，在环境评价过程中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考虑到环境影响、三种时态和三种状态等。使用分级评分的方式。基本合理。</w:t>
            </w:r>
          </w:p>
          <w:p>
            <w:pPr>
              <w:spacing w:beforeLines="50" w:line="200" w:lineRule="exact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参加环境因素辨识和评价人员：  编制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张亚丽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审批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李昌阳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日期：20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月15日 </w:t>
            </w:r>
          </w:p>
          <w:p>
            <w:pPr>
              <w:spacing w:beforeLines="50" w:line="200" w:lineRule="exact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beforeLines="50" w:line="200" w:lineRule="exact"/>
              <w:ind w:firstLine="42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查到《重要环境因素清单》已识别重要环境因素包括：粉尘的排放、噪声的排放，明确的控制措施和责任部门，</w:t>
            </w:r>
          </w:p>
          <w:p>
            <w:pPr>
              <w:spacing w:beforeLines="50" w:line="20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基本合理。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查到《危险源辨识与评价一览表》，内容有：作业活动名称、潜在危险因素、时态、状态、可导致事故、可采取控制措施、危险发生的可能性L、损失后果C、频繁程度E、等。识别出生产技术部（包括车队）危险源有：触电、火灾、机械伤害、听力损害、爆炸、高空坠落、中毒、职业病、人身伤害等。优先控制风险采用“LEC”方法进行评价。提供《不可接受风险清单》有：职业病；高空坠落；运输伤亡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，并制定有控制措施。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编制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张亚丽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审批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李昌阳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   日期：20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月15日 。以上危险源识别基本全面、无遗漏，评价基本合理。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951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环境和职业健康安全运行控制</w:t>
            </w:r>
          </w:p>
        </w:tc>
        <w:tc>
          <w:tcPr>
            <w:tcW w:w="1169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E8.1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S8.1.2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S8.1.3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38" w:type="dxa"/>
          </w:tcPr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重要环境因素的控制，依据公司的相关规定：节能降耗控制程序、废弃物控制程序、大气污染防治控制程序、噪声控制程序、消防管理控制程序等；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废水控制：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项目废水排放主要来源于构件清洗废水、生活污水。（1）构件清洗废水根据生产工艺要求，构件采用立式存放冲洗方式冲洗，主要为SS，排入沉淀池，经沉淀后回用于搅拌站。（2）生活污水进入公司化粪池处理满足《污水综合排放标准》（GB8978-1996）表4中三级标准和花艳污水处理厂进水水质标准后，由市政污水管网排入花艳污水处理厂经处理达到《城镇污水处理厂污染物排放标准》（GB18918-2002）一级A标准后排入柏临河。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噪声控制：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本项目设备在运转中，都会产生噪声，随着转动部件的精度与运动速度的不同，产生噪音强度也不一样，运营过程中设备噪声值为80~85dB（A），主要噪声源为搅拌机、振捣刮平机、振捣台等噪声。采用消声、隔声、减振等降噪措施可降低对外环境的影响。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废气控制：项目混凝土搅拌站等主要生产设备及水泥料仓、粉煤灰仓、矿粉仓、砂、石堆场等均设置在车间内，运营期大气污染物主要由筒仓呼吸粉尘、搅拌机粉尘、砂石装卸粉尘、运输车辆粉尘和食堂油烟。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每个粉料筒仓都安装了振动式收尘器，该收尘器收集效率为100%，除尘效率达99.5%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；物料输送过程中配套安装密闭物料输送皮带。同时对砂石堆场进行淋洒，增加湿度，减少扬尘量。通过采取上述措施后，主要考虑80%的喷雾洒水及建筑降尘，剩余20%扬尘逸散进入大气环境；搅拌主楼内装有脉冲除尘器，除尘效率为99.8%。厂区内运输场地全部实施硬化处理，石子及砂料堆存在封闭式仓储车间内，车间内设置喷淋装置，对料堆进行洒水抑尘。食堂油烟油采用烟净化系统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4）固废控制：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本项目固体废物主要为生产废渣、不合格产品、废钢筋边角料、除尘器除尘灰、沉淀池泥沙、废润滑油、废机油、废轮胎及生活垃圾。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生产废渣、不合格产品、除尘器除尘灰、沉淀池泥沙回收利用于生产；废钢筋边角料出售给废品回收公司；废脱模剂包装、废润滑油委托有资质单位收集处理；生活垃圾委托当地环卫部门处置；废轮胎相关单位回收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5）能资源管理：公司规定人走灯灭，人走关水等节能节水措施，并互相监督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6）火灾事故预防：公司配备有灭火器等消防设施，有应急预案，相关人员经过培训。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7）触电：公司专人负责对电箱进行检查和维保，电气线路防护，措施到位。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8）机械伤害：车间悬挂操作规程，人员经过培训，设备定期保养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9）触电：电箱均有防触电标识，人员经过培训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提供人员社保清单：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公司制定了安全生产责任属，制定了安全目标考核制定.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提供员工体检清单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提供员工个人防护清单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运行控制基本满足要求。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应急准备和响应</w:t>
            </w:r>
          </w:p>
        </w:tc>
        <w:tc>
          <w:tcPr>
            <w:tcW w:w="1169" w:type="dxa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ES8.2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38" w:type="dxa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公司制定《应急准备和响应控制程序》、《应急救援预案》等，包括：火灾、爆炸应急预案、生产车间中毒、梅雨、雷电等恶劣天气应急预案、高空坠落应急预案等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见：《高空坠落预案演练记录》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演练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时间 ：20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月20日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演练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地点：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公司大院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演练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部门：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商砼事业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及公司各部门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刘刚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实验室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了由综合部组织的演练。</w:t>
            </w:r>
          </w:p>
          <w:p>
            <w:pPr>
              <w:spacing w:line="360" w:lineRule="auto"/>
              <w:ind w:firstLine="525" w:firstLineChars="250"/>
              <w:rPr>
                <w:rFonts w:hAnsiTheme="minorEastAsia" w:eastAsiaTheme="minorEastAsia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</w:rPr>
              <w:t>针对近期出现的新型冠状病毒引发的肺炎疫情，公司制定了疫情防控预案，公司有进行返岗人员健康报备管理、每日人员出入登记/量体温/戴口罩、是否发热、办公区域消毒、分餐制用餐时间管理等，严格按政府和预案的要求执行。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基本符合。</w:t>
            </w:r>
            <w:bookmarkEnd w:id="0"/>
          </w:p>
        </w:tc>
        <w:tc>
          <w:tcPr>
            <w:tcW w:w="851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B5DAC"/>
    <w:multiLevelType w:val="singleLevel"/>
    <w:tmpl w:val="E71B5D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A507B7"/>
    <w:multiLevelType w:val="singleLevel"/>
    <w:tmpl w:val="62A507B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1812"/>
    <w:rsid w:val="00021A1B"/>
    <w:rsid w:val="000237F6"/>
    <w:rsid w:val="0003373A"/>
    <w:rsid w:val="00034A9D"/>
    <w:rsid w:val="000400E2"/>
    <w:rsid w:val="000429C6"/>
    <w:rsid w:val="00054815"/>
    <w:rsid w:val="000552D4"/>
    <w:rsid w:val="0005552D"/>
    <w:rsid w:val="00062E46"/>
    <w:rsid w:val="00067168"/>
    <w:rsid w:val="00083A24"/>
    <w:rsid w:val="00090363"/>
    <w:rsid w:val="000915E2"/>
    <w:rsid w:val="000974F5"/>
    <w:rsid w:val="000A627F"/>
    <w:rsid w:val="000F142D"/>
    <w:rsid w:val="000F2D62"/>
    <w:rsid w:val="000F3159"/>
    <w:rsid w:val="0013031B"/>
    <w:rsid w:val="00147311"/>
    <w:rsid w:val="00171DD5"/>
    <w:rsid w:val="00176434"/>
    <w:rsid w:val="00180899"/>
    <w:rsid w:val="00181427"/>
    <w:rsid w:val="00186C0E"/>
    <w:rsid w:val="001A2D7F"/>
    <w:rsid w:val="001C6C32"/>
    <w:rsid w:val="001D13CA"/>
    <w:rsid w:val="001D6651"/>
    <w:rsid w:val="001D6E47"/>
    <w:rsid w:val="001D7441"/>
    <w:rsid w:val="001E00F4"/>
    <w:rsid w:val="001E405B"/>
    <w:rsid w:val="002004CC"/>
    <w:rsid w:val="0021428D"/>
    <w:rsid w:val="00214360"/>
    <w:rsid w:val="00216E03"/>
    <w:rsid w:val="00221B40"/>
    <w:rsid w:val="00224777"/>
    <w:rsid w:val="00253BC0"/>
    <w:rsid w:val="002544BA"/>
    <w:rsid w:val="00275D6D"/>
    <w:rsid w:val="0027658D"/>
    <w:rsid w:val="002939AD"/>
    <w:rsid w:val="002A1447"/>
    <w:rsid w:val="002C3FD2"/>
    <w:rsid w:val="002F191A"/>
    <w:rsid w:val="00307B23"/>
    <w:rsid w:val="0031275F"/>
    <w:rsid w:val="003227F7"/>
    <w:rsid w:val="00333BD4"/>
    <w:rsid w:val="00337922"/>
    <w:rsid w:val="00340867"/>
    <w:rsid w:val="00352074"/>
    <w:rsid w:val="00370B31"/>
    <w:rsid w:val="00380837"/>
    <w:rsid w:val="00395EAE"/>
    <w:rsid w:val="003A198A"/>
    <w:rsid w:val="003C5185"/>
    <w:rsid w:val="003C522A"/>
    <w:rsid w:val="003D6EBD"/>
    <w:rsid w:val="003F2DCC"/>
    <w:rsid w:val="003F4C9B"/>
    <w:rsid w:val="003F77BC"/>
    <w:rsid w:val="004034D5"/>
    <w:rsid w:val="00406598"/>
    <w:rsid w:val="00410914"/>
    <w:rsid w:val="004154A6"/>
    <w:rsid w:val="004163AC"/>
    <w:rsid w:val="004200FD"/>
    <w:rsid w:val="00425E1C"/>
    <w:rsid w:val="00426823"/>
    <w:rsid w:val="00433001"/>
    <w:rsid w:val="00455FDD"/>
    <w:rsid w:val="00470E83"/>
    <w:rsid w:val="00475DB2"/>
    <w:rsid w:val="00495989"/>
    <w:rsid w:val="004C2454"/>
    <w:rsid w:val="004D0038"/>
    <w:rsid w:val="004D261F"/>
    <w:rsid w:val="004E0A34"/>
    <w:rsid w:val="004E5B89"/>
    <w:rsid w:val="004F1BD1"/>
    <w:rsid w:val="004F6236"/>
    <w:rsid w:val="00506CCF"/>
    <w:rsid w:val="00520A70"/>
    <w:rsid w:val="00536930"/>
    <w:rsid w:val="00550935"/>
    <w:rsid w:val="0055140B"/>
    <w:rsid w:val="00553EFF"/>
    <w:rsid w:val="00562A63"/>
    <w:rsid w:val="0056496F"/>
    <w:rsid w:val="00564E53"/>
    <w:rsid w:val="00565DA1"/>
    <w:rsid w:val="005677B9"/>
    <w:rsid w:val="005820BE"/>
    <w:rsid w:val="005845D5"/>
    <w:rsid w:val="00586ED8"/>
    <w:rsid w:val="005A097A"/>
    <w:rsid w:val="005A45E2"/>
    <w:rsid w:val="005A60C4"/>
    <w:rsid w:val="005B014D"/>
    <w:rsid w:val="005B2149"/>
    <w:rsid w:val="005B5123"/>
    <w:rsid w:val="005C03EB"/>
    <w:rsid w:val="005C0B82"/>
    <w:rsid w:val="005D2EE9"/>
    <w:rsid w:val="005D481B"/>
    <w:rsid w:val="005D5659"/>
    <w:rsid w:val="005D7EFA"/>
    <w:rsid w:val="00600C20"/>
    <w:rsid w:val="0061126D"/>
    <w:rsid w:val="00611B7D"/>
    <w:rsid w:val="006162A4"/>
    <w:rsid w:val="00644FE2"/>
    <w:rsid w:val="006466BA"/>
    <w:rsid w:val="00654BA1"/>
    <w:rsid w:val="0065529F"/>
    <w:rsid w:val="006576C9"/>
    <w:rsid w:val="00675C37"/>
    <w:rsid w:val="0067640C"/>
    <w:rsid w:val="0068466F"/>
    <w:rsid w:val="006B077E"/>
    <w:rsid w:val="006B17FE"/>
    <w:rsid w:val="006D1A9A"/>
    <w:rsid w:val="006E2B5A"/>
    <w:rsid w:val="006E2FFA"/>
    <w:rsid w:val="006E678B"/>
    <w:rsid w:val="006E6E19"/>
    <w:rsid w:val="006F4DDE"/>
    <w:rsid w:val="00701BAE"/>
    <w:rsid w:val="00701FA8"/>
    <w:rsid w:val="0071778F"/>
    <w:rsid w:val="007275F4"/>
    <w:rsid w:val="00733A13"/>
    <w:rsid w:val="00734DE7"/>
    <w:rsid w:val="00740C41"/>
    <w:rsid w:val="007475E7"/>
    <w:rsid w:val="007508AF"/>
    <w:rsid w:val="00750AE5"/>
    <w:rsid w:val="00763FE8"/>
    <w:rsid w:val="007757F3"/>
    <w:rsid w:val="0078276C"/>
    <w:rsid w:val="0078322A"/>
    <w:rsid w:val="00783C08"/>
    <w:rsid w:val="007945FF"/>
    <w:rsid w:val="007A1EC4"/>
    <w:rsid w:val="007B6C8D"/>
    <w:rsid w:val="007C6D74"/>
    <w:rsid w:val="007D6C08"/>
    <w:rsid w:val="007E1BCB"/>
    <w:rsid w:val="007E6AEB"/>
    <w:rsid w:val="007F070E"/>
    <w:rsid w:val="00806BC0"/>
    <w:rsid w:val="00813EC2"/>
    <w:rsid w:val="00817486"/>
    <w:rsid w:val="00831F9E"/>
    <w:rsid w:val="00843A5F"/>
    <w:rsid w:val="00851D32"/>
    <w:rsid w:val="00857127"/>
    <w:rsid w:val="00863081"/>
    <w:rsid w:val="00866BFF"/>
    <w:rsid w:val="00873DA2"/>
    <w:rsid w:val="00893BDD"/>
    <w:rsid w:val="008973EE"/>
    <w:rsid w:val="008B2EB3"/>
    <w:rsid w:val="008B3B24"/>
    <w:rsid w:val="008B7F7B"/>
    <w:rsid w:val="008B7FC7"/>
    <w:rsid w:val="008E2BD6"/>
    <w:rsid w:val="008F4ACF"/>
    <w:rsid w:val="00910887"/>
    <w:rsid w:val="0091717A"/>
    <w:rsid w:val="00937D49"/>
    <w:rsid w:val="009405C8"/>
    <w:rsid w:val="009471B9"/>
    <w:rsid w:val="00953F1A"/>
    <w:rsid w:val="00956744"/>
    <w:rsid w:val="009649C3"/>
    <w:rsid w:val="00967A17"/>
    <w:rsid w:val="00971600"/>
    <w:rsid w:val="009973B4"/>
    <w:rsid w:val="009B5B36"/>
    <w:rsid w:val="009C28C1"/>
    <w:rsid w:val="009C4F9A"/>
    <w:rsid w:val="009E49E1"/>
    <w:rsid w:val="009F1CA7"/>
    <w:rsid w:val="009F5225"/>
    <w:rsid w:val="009F7EED"/>
    <w:rsid w:val="00A01C2A"/>
    <w:rsid w:val="00A13E21"/>
    <w:rsid w:val="00A150A2"/>
    <w:rsid w:val="00A20A3B"/>
    <w:rsid w:val="00A212CA"/>
    <w:rsid w:val="00A23CEC"/>
    <w:rsid w:val="00A3230F"/>
    <w:rsid w:val="00A3431C"/>
    <w:rsid w:val="00A4217E"/>
    <w:rsid w:val="00A43595"/>
    <w:rsid w:val="00A63112"/>
    <w:rsid w:val="00A63E7B"/>
    <w:rsid w:val="00A714C7"/>
    <w:rsid w:val="00A72210"/>
    <w:rsid w:val="00A80636"/>
    <w:rsid w:val="00A94B7B"/>
    <w:rsid w:val="00A94F96"/>
    <w:rsid w:val="00AB2B0B"/>
    <w:rsid w:val="00AB2CBC"/>
    <w:rsid w:val="00AB6468"/>
    <w:rsid w:val="00AC13C0"/>
    <w:rsid w:val="00AC43D6"/>
    <w:rsid w:val="00AD3722"/>
    <w:rsid w:val="00AD393C"/>
    <w:rsid w:val="00AD5FF0"/>
    <w:rsid w:val="00AE6463"/>
    <w:rsid w:val="00AF0AAB"/>
    <w:rsid w:val="00B07141"/>
    <w:rsid w:val="00B07C9C"/>
    <w:rsid w:val="00B1551E"/>
    <w:rsid w:val="00B25F53"/>
    <w:rsid w:val="00B449BC"/>
    <w:rsid w:val="00B5202E"/>
    <w:rsid w:val="00B63ACD"/>
    <w:rsid w:val="00B671CA"/>
    <w:rsid w:val="00B73689"/>
    <w:rsid w:val="00B82832"/>
    <w:rsid w:val="00B8760C"/>
    <w:rsid w:val="00BA329F"/>
    <w:rsid w:val="00BB0202"/>
    <w:rsid w:val="00BB629C"/>
    <w:rsid w:val="00BC2249"/>
    <w:rsid w:val="00BC57A9"/>
    <w:rsid w:val="00BD1471"/>
    <w:rsid w:val="00BE5E52"/>
    <w:rsid w:val="00BF3A33"/>
    <w:rsid w:val="00BF597E"/>
    <w:rsid w:val="00C1544A"/>
    <w:rsid w:val="00C33B32"/>
    <w:rsid w:val="00C345BE"/>
    <w:rsid w:val="00C51A36"/>
    <w:rsid w:val="00C55228"/>
    <w:rsid w:val="00C615C3"/>
    <w:rsid w:val="00C66B3A"/>
    <w:rsid w:val="00C96F95"/>
    <w:rsid w:val="00CB5821"/>
    <w:rsid w:val="00CC7FAB"/>
    <w:rsid w:val="00CD0716"/>
    <w:rsid w:val="00CE315A"/>
    <w:rsid w:val="00CF0C97"/>
    <w:rsid w:val="00CF7EF5"/>
    <w:rsid w:val="00D0297B"/>
    <w:rsid w:val="00D06F59"/>
    <w:rsid w:val="00D11694"/>
    <w:rsid w:val="00D14026"/>
    <w:rsid w:val="00D21211"/>
    <w:rsid w:val="00D2373B"/>
    <w:rsid w:val="00D36585"/>
    <w:rsid w:val="00D503EB"/>
    <w:rsid w:val="00D55B28"/>
    <w:rsid w:val="00D55F80"/>
    <w:rsid w:val="00D8388C"/>
    <w:rsid w:val="00D911B2"/>
    <w:rsid w:val="00D91D23"/>
    <w:rsid w:val="00DC15A8"/>
    <w:rsid w:val="00DC238C"/>
    <w:rsid w:val="00DD5752"/>
    <w:rsid w:val="00E064DC"/>
    <w:rsid w:val="00E11608"/>
    <w:rsid w:val="00E33A68"/>
    <w:rsid w:val="00E404DF"/>
    <w:rsid w:val="00E429AE"/>
    <w:rsid w:val="00E53827"/>
    <w:rsid w:val="00E56E3C"/>
    <w:rsid w:val="00E6224C"/>
    <w:rsid w:val="00E62E27"/>
    <w:rsid w:val="00E82E75"/>
    <w:rsid w:val="00E869ED"/>
    <w:rsid w:val="00E86F2D"/>
    <w:rsid w:val="00E90FE1"/>
    <w:rsid w:val="00E95183"/>
    <w:rsid w:val="00EA40AA"/>
    <w:rsid w:val="00EB0164"/>
    <w:rsid w:val="00EC36F8"/>
    <w:rsid w:val="00EC52CB"/>
    <w:rsid w:val="00ED0F62"/>
    <w:rsid w:val="00EE4C4A"/>
    <w:rsid w:val="00EF61D4"/>
    <w:rsid w:val="00F13271"/>
    <w:rsid w:val="00F1666B"/>
    <w:rsid w:val="00F167FA"/>
    <w:rsid w:val="00F227C1"/>
    <w:rsid w:val="00F44B02"/>
    <w:rsid w:val="00F468D5"/>
    <w:rsid w:val="00F768C5"/>
    <w:rsid w:val="00F76D58"/>
    <w:rsid w:val="00F85FCA"/>
    <w:rsid w:val="00FA02FE"/>
    <w:rsid w:val="00FB2844"/>
    <w:rsid w:val="00FC0238"/>
    <w:rsid w:val="00FC53A7"/>
    <w:rsid w:val="00FC5A74"/>
    <w:rsid w:val="00FC631C"/>
    <w:rsid w:val="00FE3FB2"/>
    <w:rsid w:val="00FE4E16"/>
    <w:rsid w:val="062909FA"/>
    <w:rsid w:val="0A77618C"/>
    <w:rsid w:val="108219C2"/>
    <w:rsid w:val="13A36352"/>
    <w:rsid w:val="1622124C"/>
    <w:rsid w:val="1941603C"/>
    <w:rsid w:val="1D2F7E3D"/>
    <w:rsid w:val="1D5E47E3"/>
    <w:rsid w:val="2DDE4F22"/>
    <w:rsid w:val="2EB31F87"/>
    <w:rsid w:val="4148044D"/>
    <w:rsid w:val="4BFC4599"/>
    <w:rsid w:val="578F7773"/>
    <w:rsid w:val="5EA12B9A"/>
    <w:rsid w:val="62CD5B60"/>
    <w:rsid w:val="67922C6A"/>
    <w:rsid w:val="7A255C36"/>
    <w:rsid w:val="7D140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link w:val="16"/>
    <w:qFormat/>
    <w:uiPriority w:val="0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正文文本缩进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6">
    <w:name w:val="正文首行缩进 2 Char"/>
    <w:basedOn w:val="15"/>
    <w:link w:val="7"/>
    <w:qFormat/>
    <w:uiPriority w:val="0"/>
    <w:rPr>
      <w:rFonts w:ascii="宋体" w:hAnsi="宋体" w:eastAsia="仿宋_GB2312"/>
      <w:color w:val="000000"/>
      <w:sz w:val="28"/>
    </w:rPr>
  </w:style>
  <w:style w:type="paragraph" w:customStyle="1" w:styleId="1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8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2260</Words>
  <Characters>12886</Characters>
  <Lines>107</Lines>
  <Paragraphs>30</Paragraphs>
  <TotalTime>7</TotalTime>
  <ScaleCrop>false</ScaleCrop>
  <LinksUpToDate>false</LinksUpToDate>
  <CharactersWithSpaces>15116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2021-06-23T08:18:44Z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AC251136D4C743369BD10BB54CFDBBD5</vt:lpwstr>
  </property>
</Properties>
</file>