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698"/>
        <w:gridCol w:w="2097"/>
        <w:gridCol w:w="1053"/>
        <w:gridCol w:w="20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宜昌市宝业建筑工业化有限公司</w:t>
            </w:r>
            <w:bookmarkEnd w:id="3"/>
          </w:p>
        </w:tc>
        <w:tc>
          <w:tcPr>
            <w:tcW w:w="105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Q：16.02.03;17.06.01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E：16.02.03;17.06.01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O：16.02.03;17.06.01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6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Q：16.02.03;17.06.01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E：16.02.03;17.06.01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O：16.02.03;17.06.01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  <w:p>
            <w:p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装模--清理模台--钢筋绑扎--预埋--浇筑--养护-脱模-出厂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搅拌（定时控制）</w:t>
            </w:r>
            <w:r>
              <w:rPr>
                <w:rFonts w:hint="eastAsia"/>
                <w:sz w:val="20"/>
                <w:lang w:val="en-US" w:eastAsia="zh-CN"/>
              </w:rPr>
              <w:t>和养护叁</w:t>
            </w:r>
            <w:r>
              <w:rPr>
                <w:rFonts w:hint="eastAsia"/>
                <w:sz w:val="20"/>
              </w:rPr>
              <w:t>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预制混凝土 楼梯JG/T562-2018、预制混凝土 箱涵JG/T2456-2018、预制混凝土外挂墙板应用技术标准JG/T458-2018、预应力混凝土管桩技术标准JG/T406-2017、预应力混凝土T型梁JG/T2329-2016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游标卡尺、卷尺</w:t>
            </w:r>
            <w:r>
              <w:rPr>
                <w:rFonts w:hint="eastAsia"/>
                <w:sz w:val="20"/>
              </w:rPr>
              <w:t>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213360</wp:posOffset>
                  </wp:positionV>
                  <wp:extent cx="680720" cy="574040"/>
                  <wp:effectExtent l="0" t="0" r="508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2710815</wp:posOffset>
                  </wp:positionH>
                  <wp:positionV relativeFrom="paragraph">
                    <wp:posOffset>224155</wp:posOffset>
                  </wp:positionV>
                  <wp:extent cx="680720" cy="574040"/>
                  <wp:effectExtent l="0" t="0" r="508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2021.6.21</w:t>
      </w:r>
      <w:r>
        <w:rPr>
          <w:rFonts w:hint="eastAsia" w:ascii="宋体"/>
          <w:b/>
          <w:sz w:val="22"/>
          <w:szCs w:val="22"/>
        </w:rPr>
        <w:t xml:space="preserve">     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2965BA"/>
    <w:rsid w:val="73483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2021-06-25T02:41:36Z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5584D2501707414BAE0569CB88B514DF</vt:lpwstr>
  </property>
</Properties>
</file>