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江西百好新型建材有限公司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蒙亭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Q:12.05.04</w:t>
            </w:r>
          </w:p>
          <w:p>
            <w:pPr>
              <w:spacing w:line="240" w:lineRule="exact"/>
              <w:jc w:val="center"/>
              <w:rPr>
                <w:b/>
                <w:color w:val="000000" w:themeColor="text1"/>
                <w:sz w:val="20"/>
                <w:szCs w:val="20"/>
              </w:rPr>
            </w:pPr>
            <w:r>
              <w:rPr>
                <w:b/>
                <w:color w:val="000000" w:themeColor="text1"/>
                <w:sz w:val="20"/>
                <w:szCs w:val="20"/>
              </w:rPr>
              <w:t>O:12.05.04</w:t>
            </w:r>
          </w:p>
          <w:p>
            <w:pPr>
              <w:spacing w:line="240" w:lineRule="exact"/>
              <w:jc w:val="center"/>
              <w:rPr>
                <w:b/>
                <w:color w:val="000000" w:themeColor="text1"/>
                <w:sz w:val="20"/>
                <w:szCs w:val="20"/>
              </w:rPr>
            </w:pPr>
            <w:r>
              <w:rPr>
                <w:b/>
                <w:color w:val="000000" w:themeColor="text1"/>
                <w:sz w:val="20"/>
                <w:szCs w:val="20"/>
              </w:rPr>
              <w:t>E:12.05.04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0"/>
        </w:numPr>
        <w:ind w:left="-851" w:leftChars="0"/>
        <w:rPr>
          <w:rFonts w:ascii="宋体" w:hAnsi="宋体"/>
          <w:b/>
          <w:color w:val="000000" w:themeColor="text1"/>
          <w:sz w:val="26"/>
          <w:szCs w:val="2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w:t>
      </w:r>
    </w:p>
    <w:p>
      <w:pPr>
        <w:jc w:val="left"/>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O：GB/T45001-2020 / ISO45001：2018,</w:t>
      </w:r>
    </w:p>
    <w:p>
      <w:pPr>
        <w:jc w:val="left"/>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E：GB/T 24001-2016/ISO14001:2015</w:t>
      </w:r>
      <w:bookmarkEnd w:id="4"/>
    </w:p>
    <w:p>
      <w:pPr>
        <w:jc w:val="left"/>
        <w:rPr>
          <w:rFonts w:hint="eastAsia" w:ascii="宋体" w:hAnsi="宋体"/>
          <w:b/>
          <w:color w:val="000000" w:themeColor="text1"/>
          <w:spacing w:val="-10"/>
          <w:sz w:val="20"/>
          <w:szCs w:val="20"/>
        </w:rPr>
      </w:pPr>
    </w:p>
    <w:p>
      <w:pPr>
        <w:pStyle w:val="12"/>
        <w:numPr>
          <w:ilvl w:val="0"/>
          <w:numId w:val="1"/>
        </w:numPr>
        <w:ind w:left="-142" w:hanging="709" w:firstLineChars="0"/>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江西百好新型建材有限公司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江西省赣州市赣州开发区金岭路南侧</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341000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江西省赣州市赣州开发区金岭路南侧</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341000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孙壮凯</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15159625443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孙百好</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吴明华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Q：建筑添加剂（减水剂）的生产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O：建筑添加剂（减水剂）的生产所涉及场所的相关职业健康安全管理活动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E：建筑添加剂（减水剂）的生产所涉及场所的相关环境管理活动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Q：12.05.04</w:t>
            </w:r>
          </w:p>
          <w:p>
            <w:pPr>
              <w:spacing w:line="320" w:lineRule="exact"/>
              <w:rPr>
                <w:rFonts w:ascii="宋体" w:hAnsi="宋体"/>
                <w:b/>
                <w:color w:val="000000" w:themeColor="text1"/>
                <w:sz w:val="20"/>
                <w:szCs w:val="20"/>
              </w:rPr>
            </w:pPr>
            <w:r>
              <w:rPr>
                <w:rFonts w:ascii="宋体" w:hAnsi="宋体"/>
                <w:b/>
                <w:color w:val="000000" w:themeColor="text1"/>
                <w:sz w:val="20"/>
                <w:szCs w:val="20"/>
              </w:rPr>
              <w:t>O：12.05.04</w:t>
            </w:r>
          </w:p>
          <w:p>
            <w:pPr>
              <w:spacing w:line="320" w:lineRule="exact"/>
              <w:rPr>
                <w:rFonts w:ascii="宋体" w:hAnsi="宋体"/>
                <w:b/>
                <w:color w:val="000000" w:themeColor="text1"/>
                <w:sz w:val="20"/>
                <w:szCs w:val="20"/>
              </w:rPr>
            </w:pPr>
            <w:r>
              <w:rPr>
                <w:rFonts w:ascii="宋体" w:hAnsi="宋体"/>
                <w:b/>
                <w:color w:val="000000" w:themeColor="text1"/>
                <w:sz w:val="20"/>
                <w:szCs w:val="20"/>
              </w:rPr>
              <w:t>E：12.05.04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2"/>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011"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7011" w:type="dxa"/>
          </w:tcPr>
          <w:p>
            <w:pPr>
              <w:spacing w:line="360" w:lineRule="auto"/>
              <w:jc w:val="left"/>
              <w:rPr>
                <w:rFonts w:hint="eastAsia" w:ascii="宋体" w:hAnsi="宋体" w:eastAsia="宋体"/>
                <w:b w:val="0"/>
                <w:bCs/>
                <w:color w:val="000000" w:themeColor="text1"/>
                <w:spacing w:val="-20"/>
                <w:sz w:val="20"/>
                <w:szCs w:val="20"/>
                <w:u w:val="single"/>
                <w:lang w:val="en-US" w:eastAsia="zh-CN"/>
              </w:rPr>
            </w:pPr>
            <w:r>
              <w:rPr>
                <w:rFonts w:hint="eastAsia" w:ascii="宋体" w:hAnsi="宋体" w:eastAsia="宋体" w:cs="Times New Roman"/>
                <w:b w:val="0"/>
                <w:bCs/>
                <w:color w:val="000000" w:themeColor="text1"/>
                <w:sz w:val="20"/>
                <w:szCs w:val="20"/>
                <w:lang w:val="en-US" w:eastAsia="zh-CN"/>
              </w:rPr>
              <w:t>目标管理、资源（人员能力）管理、文件管理、外部提供过程控制、内审、监测分析及环境/职业健康安全管理过程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7011" w:type="dxa"/>
          </w:tcPr>
          <w:p>
            <w:pPr>
              <w:spacing w:line="360" w:lineRule="auto"/>
              <w:jc w:val="left"/>
              <w:rPr>
                <w:rFonts w:ascii="宋体" w:hAnsi="宋体"/>
                <w:b w:val="0"/>
                <w:bCs/>
                <w:color w:val="000000" w:themeColor="text1"/>
                <w:spacing w:val="-20"/>
                <w:sz w:val="20"/>
                <w:szCs w:val="20"/>
                <w:u w:val="single"/>
              </w:rPr>
            </w:pPr>
            <w:r>
              <w:rPr>
                <w:rFonts w:hint="eastAsia" w:ascii="宋体" w:hAnsi="宋体" w:eastAsia="宋体" w:cs="Times New Roman"/>
                <w:b w:val="0"/>
                <w:bCs/>
                <w:color w:val="000000" w:themeColor="text1"/>
                <w:sz w:val="20"/>
                <w:szCs w:val="20"/>
                <w:lang w:val="en-US" w:eastAsia="zh-CN"/>
              </w:rPr>
              <w:t>策划、</w:t>
            </w:r>
            <w:r>
              <w:rPr>
                <w:rFonts w:hint="eastAsia" w:ascii="宋体" w:hAnsi="宋体" w:cs="Times New Roman"/>
                <w:b w:val="0"/>
                <w:bCs/>
                <w:color w:val="000000" w:themeColor="text1"/>
                <w:sz w:val="20"/>
                <w:szCs w:val="20"/>
                <w:lang w:val="en-US" w:eastAsia="zh-CN"/>
              </w:rPr>
              <w:t>生产</w:t>
            </w:r>
            <w:r>
              <w:rPr>
                <w:rFonts w:hint="eastAsia" w:ascii="宋体" w:hAnsi="宋体" w:eastAsia="宋体" w:cs="Times New Roman"/>
                <w:b w:val="0"/>
                <w:bCs/>
                <w:color w:val="000000" w:themeColor="text1"/>
                <w:sz w:val="20"/>
                <w:szCs w:val="20"/>
                <w:lang w:val="en-US" w:eastAsia="zh-CN"/>
              </w:rPr>
              <w:t>提供过程、环境/职业健康安全管理过程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7011" w:type="dxa"/>
          </w:tcPr>
          <w:p>
            <w:pPr>
              <w:spacing w:line="360" w:lineRule="auto"/>
              <w:jc w:val="left"/>
              <w:rPr>
                <w:rFonts w:ascii="宋体" w:hAnsi="宋体"/>
                <w:b w:val="0"/>
                <w:bCs/>
                <w:color w:val="000000" w:themeColor="text1"/>
                <w:spacing w:val="-20"/>
                <w:sz w:val="20"/>
                <w:szCs w:val="20"/>
                <w:u w:val="single"/>
              </w:rPr>
            </w:pPr>
            <w:r>
              <w:rPr>
                <w:rFonts w:hint="eastAsia" w:ascii="宋体" w:hAnsi="宋体" w:eastAsia="宋体" w:cs="Times New Roman"/>
                <w:b w:val="0"/>
                <w:bCs/>
                <w:color w:val="000000" w:themeColor="text1"/>
                <w:sz w:val="20"/>
                <w:szCs w:val="20"/>
                <w:lang w:val="en-US" w:eastAsia="zh-CN"/>
              </w:rPr>
              <w:t>放行、不合格品控制、环境/职业健康安全管理过程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7011" w:type="dxa"/>
          </w:tcPr>
          <w:p>
            <w:pPr>
              <w:spacing w:line="360" w:lineRule="auto"/>
              <w:jc w:val="left"/>
              <w:rPr>
                <w:rFonts w:ascii="宋体" w:hAnsi="宋体"/>
                <w:b w:val="0"/>
                <w:bCs/>
                <w:color w:val="000000" w:themeColor="text1"/>
                <w:spacing w:val="-20"/>
                <w:sz w:val="20"/>
                <w:szCs w:val="20"/>
                <w:u w:val="single"/>
              </w:rPr>
            </w:pPr>
            <w:r>
              <w:rPr>
                <w:rFonts w:hint="eastAsia" w:ascii="宋体" w:hAnsi="宋体" w:eastAsia="宋体" w:cs="Times New Roman"/>
                <w:b w:val="0"/>
                <w:bCs/>
                <w:color w:val="000000" w:themeColor="text1"/>
                <w:sz w:val="20"/>
                <w:szCs w:val="20"/>
                <w:lang w:val="en-US" w:eastAsia="zh-CN"/>
              </w:rPr>
              <w:t>顾客要求、顾客财产、交付后活动、顾客满意、环境/职业健康安全管理过程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Pr>
          <w:p>
            <w:pPr>
              <w:rPr>
                <w:rFonts w:ascii="宋体" w:hAnsi="宋体"/>
                <w:b/>
                <w:color w:val="000000" w:themeColor="text1"/>
                <w:szCs w:val="21"/>
              </w:rPr>
            </w:pPr>
          </w:p>
        </w:tc>
        <w:tc>
          <w:tcPr>
            <w:tcW w:w="7011" w:type="dxa"/>
          </w:tcPr>
          <w:p>
            <w:pPr>
              <w:rPr>
                <w:rFonts w:ascii="宋体" w:hAnsi="宋体"/>
                <w:b/>
                <w:color w:val="000000" w:themeColor="text1"/>
                <w:spacing w:val="-20"/>
                <w:szCs w:val="21"/>
                <w:u w:val="single"/>
              </w:rPr>
            </w:pPr>
          </w:p>
        </w:tc>
      </w:tr>
    </w:tbl>
    <w:p>
      <w:pPr>
        <w:spacing w:line="360" w:lineRule="auto"/>
        <w:ind w:left="-158" w:leftChars="-337" w:hanging="550" w:hangingChars="271"/>
        <w:rPr>
          <w:rFonts w:ascii="宋体" w:hAnsi="宋体" w:eastAsia="宋体" w:cs="Times New Roman"/>
          <w:b/>
          <w:color w:val="000000" w:themeColor="text1"/>
          <w:spacing w:val="-4"/>
          <w:szCs w:val="21"/>
        </w:rPr>
      </w:pPr>
      <w:r>
        <w:rPr>
          <w:rFonts w:ascii="宋体" w:hAnsi="宋体" w:eastAsia="宋体" w:cs="Times New Roman"/>
          <w:b/>
          <w:color w:val="000000" w:themeColor="text1"/>
          <w:spacing w:val="-4"/>
          <w:szCs w:val="21"/>
        </w:rPr>
        <w:t xml:space="preserve">3. </w:t>
      </w:r>
      <w:r>
        <w:rPr>
          <w:rFonts w:hint="eastAsia" w:ascii="宋体" w:hAnsi="宋体" w:eastAsia="宋体" w:cs="Times New Roman"/>
          <w:b/>
          <w:color w:val="000000" w:themeColor="text1"/>
          <w:spacing w:val="-4"/>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spacing w:line="360" w:lineRule="auto"/>
        <w:ind w:left="-158" w:leftChars="-337" w:hanging="550" w:hangingChars="271"/>
        <w:rPr>
          <w:rFonts w:ascii="宋体" w:hAnsi="宋体" w:eastAsia="宋体" w:cs="Times New Roman"/>
          <w:b/>
          <w:color w:val="000000" w:themeColor="text1"/>
          <w:spacing w:val="-4"/>
          <w:szCs w:val="21"/>
        </w:rPr>
      </w:pPr>
      <w:r>
        <w:rPr>
          <w:rFonts w:hint="eastAsia" w:ascii="宋体" w:hAnsi="宋体" w:eastAsia="宋体" w:cs="Times New Roman"/>
          <w:b/>
          <w:color w:val="000000" w:themeColor="text1"/>
          <w:spacing w:val="-4"/>
          <w:szCs w:val="21"/>
        </w:rPr>
        <w:t>4. 已审核具体的产品/服务/型号/类型/系列和过程（设计/生产┄┄）是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建筑添加剂（减水剂）的生产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b/>
                <w:color w:val="000000" w:themeColor="text1"/>
                <w:sz w:val="20"/>
                <w:szCs w:val="20"/>
              </w:rPr>
            </w:pPr>
            <w:r>
              <w:rPr>
                <w:rFonts w:hint="eastAsia"/>
                <w:b/>
                <w:color w:val="000000" w:themeColor="text1"/>
                <w:sz w:val="20"/>
                <w:szCs w:val="20"/>
              </w:rPr>
              <w:t>混凝土外加剂GB 8076-2008</w:t>
            </w:r>
          </w:p>
          <w:p>
            <w:pPr>
              <w:rPr>
                <w:b/>
                <w:color w:val="000000" w:themeColor="text1"/>
                <w:sz w:val="20"/>
                <w:szCs w:val="20"/>
              </w:rPr>
            </w:pPr>
            <w:r>
              <w:rPr>
                <w:rFonts w:hint="eastAsia"/>
                <w:b/>
                <w:color w:val="000000" w:themeColor="text1"/>
                <w:sz w:val="20"/>
                <w:szCs w:val="20"/>
              </w:rPr>
              <w:t>聚羧酸系高性能减水剂JG/T223-2017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体系运行开始的2021年01月10日至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r>
        <w:rPr>
          <w:rFonts w:hint="eastAsia" w:ascii="宋体" w:hAnsi="宋体"/>
          <w:b/>
          <w:color w:val="000000" w:themeColor="text1"/>
          <w:szCs w:val="21"/>
        </w:rPr>
        <w:br w:type="page"/>
      </w:r>
    </w:p>
    <w:p>
      <w:pPr>
        <w:ind w:left="-1" w:leftChars="-337" w:hanging="707" w:hangingChars="271"/>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20" w:type="dxa"/>
            <w:vMerge w:val="restart"/>
            <w:textDirection w:val="tbRlV"/>
            <w:vAlign w:val="center"/>
          </w:tcPr>
          <w:p>
            <w:pPr>
              <w:spacing w:line="360" w:lineRule="auto"/>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360" w:lineRule="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ind w:firstLine="400" w:firstLineChars="200"/>
              <w:rPr>
                <w:rFonts w:hint="eastAsia" w:ascii="Times New Roman" w:hAnsi="Times New Roman" w:cs="Times New Roman"/>
                <w:sz w:val="20"/>
                <w:szCs w:val="20"/>
                <w:lang w:val="zh-CN" w:eastAsia="zh-CN"/>
              </w:rPr>
            </w:pPr>
            <w:r>
              <w:rPr>
                <w:rFonts w:hint="eastAsia" w:ascii="Times New Roman" w:hAnsi="Times New Roman" w:cs="Times New Roman"/>
                <w:sz w:val="20"/>
                <w:szCs w:val="20"/>
                <w:lang w:val="zh-CN" w:eastAsia="zh-CN"/>
              </w:rPr>
              <w:t>江西百好新型建筑材料有限公司成立于2011年12月，公司注册资金</w:t>
            </w:r>
            <w:r>
              <w:rPr>
                <w:rFonts w:hint="eastAsia" w:ascii="Times New Roman" w:hAnsi="Times New Roman" w:cs="Times New Roman"/>
                <w:sz w:val="20"/>
                <w:szCs w:val="20"/>
                <w:lang w:val="en-US" w:eastAsia="zh-CN"/>
              </w:rPr>
              <w:t>6</w:t>
            </w:r>
            <w:r>
              <w:rPr>
                <w:rFonts w:hint="eastAsia" w:ascii="Times New Roman" w:hAnsi="Times New Roman" w:cs="Times New Roman"/>
                <w:sz w:val="20"/>
                <w:szCs w:val="20"/>
                <w:lang w:val="zh-CN" w:eastAsia="zh-CN"/>
              </w:rPr>
              <w:t>00万元，</w:t>
            </w:r>
            <w:r>
              <w:rPr>
                <w:rFonts w:hint="eastAsia" w:ascii="Times New Roman" w:hAnsi="Times New Roman" w:cs="Times New Roman"/>
                <w:sz w:val="20"/>
                <w:szCs w:val="20"/>
                <w:lang w:val="en-US" w:eastAsia="zh-CN"/>
              </w:rPr>
              <w:t>办公面积约4千平方米。</w:t>
            </w:r>
          </w:p>
          <w:p>
            <w:pPr>
              <w:spacing w:line="360" w:lineRule="auto"/>
              <w:ind w:firstLine="400" w:firstLineChars="20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zh-CN" w:eastAsia="zh-CN"/>
              </w:rPr>
              <w:t>注册地位于江西省赣州市赣州开发区金岭路南侧，</w:t>
            </w:r>
            <w:r>
              <w:rPr>
                <w:rFonts w:hint="eastAsia" w:ascii="Times New Roman" w:hAnsi="Times New Roman" w:cs="Times New Roman"/>
                <w:sz w:val="20"/>
                <w:szCs w:val="20"/>
                <w:lang w:val="en-US" w:eastAsia="zh-CN"/>
              </w:rPr>
              <w:t>经营地址与注册地址相同；</w:t>
            </w:r>
          </w:p>
          <w:p>
            <w:pPr>
              <w:spacing w:line="360" w:lineRule="auto"/>
              <w:ind w:firstLine="400" w:firstLineChars="20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zh-CN" w:eastAsia="zh-CN"/>
              </w:rPr>
              <w:t>主要产品经有：</w:t>
            </w:r>
            <w:r>
              <w:rPr>
                <w:rFonts w:hint="eastAsia" w:ascii="Times New Roman" w:hAnsi="Times New Roman" w:cs="Times New Roman"/>
                <w:sz w:val="20"/>
                <w:szCs w:val="20"/>
                <w:lang w:val="en-US" w:eastAsia="zh-CN"/>
              </w:rPr>
              <w:t>建筑添加剂、新型墙体材料生产销售</w:t>
            </w:r>
            <w:r>
              <w:rPr>
                <w:rFonts w:hint="eastAsia" w:ascii="Times New Roman" w:hAnsi="Times New Roman" w:cs="Times New Roman"/>
                <w:sz w:val="20"/>
                <w:szCs w:val="20"/>
                <w:lang w:val="zh-CN" w:eastAsia="zh-CN"/>
              </w:rPr>
              <w:t>等，</w:t>
            </w:r>
            <w:r>
              <w:rPr>
                <w:rFonts w:hint="eastAsia" w:ascii="Times New Roman" w:hAnsi="Times New Roman" w:cs="Times New Roman"/>
                <w:sz w:val="20"/>
                <w:szCs w:val="20"/>
                <w:lang w:val="en-US" w:eastAsia="zh-CN"/>
              </w:rPr>
              <w:t>覆盖了认证范围：</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Q：建筑添加剂（减水剂）的生产</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O：建筑添加剂（减水剂）的生产所涉及场所的相关职业健康安全管理活动</w:t>
            </w:r>
          </w:p>
          <w:p>
            <w:pPr>
              <w:spacing w:line="360" w:lineRule="auto"/>
              <w:ind w:firstLine="400" w:firstLineChars="20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E：建筑添加剂（减水剂）的生产所涉及场所的相关环境管理活动 </w:t>
            </w:r>
          </w:p>
          <w:p>
            <w:pPr>
              <w:spacing w:line="360" w:lineRule="auto"/>
              <w:ind w:firstLine="400" w:firstLineChars="20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公司设置有行政部、生产部、业务部、技术部。</w:t>
            </w:r>
          </w:p>
          <w:p>
            <w:pPr>
              <w:spacing w:line="360" w:lineRule="auto"/>
              <w:ind w:firstLine="400" w:firstLineChars="20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公司定期汇总分析市场情况，包括行业发展情况，相关企业产品分析，竞品分析，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如：</w:t>
            </w:r>
          </w:p>
          <w:p>
            <w:pPr>
              <w:spacing w:line="360" w:lineRule="auto"/>
              <w:ind w:firstLine="400" w:firstLineChars="20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外部因素——国际经济政治形势、国家政策变动、竞争对手、客户需求的变化、新技术采用等；</w:t>
            </w:r>
          </w:p>
          <w:p>
            <w:pPr>
              <w:spacing w:line="360" w:lineRule="auto"/>
              <w:ind w:firstLine="400" w:firstLineChars="20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内部因素——公司文化、内部管理机制的建立、人员稳定性、员工年龄、经验等；</w:t>
            </w:r>
          </w:p>
          <w:p>
            <w:pPr>
              <w:spacing w:line="360" w:lineRule="auto"/>
              <w:ind w:firstLine="400" w:firstLineChars="20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这些因素包括了需要考虑的正面和负面因素或条件。</w:t>
            </w:r>
          </w:p>
          <w:p>
            <w:pPr>
              <w:spacing w:line="360" w:lineRule="auto"/>
              <w:ind w:firstLine="400" w:firstLineChars="20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公司每年根据公司销售人员从市场、客户、网络等搜集到的信息并结合公司自身业务运作情况进行分析，通过分析对这些内部和外部因素的相关信息进行监视和评审以确保其充分和适宜。</w:t>
            </w:r>
          </w:p>
          <w:p>
            <w:pPr>
              <w:spacing w:line="360" w:lineRule="auto"/>
              <w:ind w:firstLine="400" w:firstLineChars="200"/>
              <w:rPr>
                <w:rFonts w:hint="eastAsia" w:eastAsia="宋体"/>
                <w:b/>
                <w:color w:val="000000" w:themeColor="text1"/>
                <w:sz w:val="20"/>
                <w:szCs w:val="20"/>
                <w:lang w:val="en-US" w:eastAsia="zh-CN"/>
              </w:rPr>
            </w:pPr>
            <w:r>
              <w:rPr>
                <w:rFonts w:hint="default" w:ascii="Times New Roman" w:hAnsi="Times New Roman" w:cs="Times New Roman"/>
                <w:sz w:val="20"/>
                <w:szCs w:val="20"/>
                <w:lang w:val="en-US" w:eastAsia="zh-CN"/>
              </w:rPr>
              <w:t>公司财务能保障公司质量/环境/职业健康安全管理体系运行所需</w:t>
            </w: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公司的技术、基础设施、环保安全设施配备齐全、过程运行环境控制良好</w:t>
            </w:r>
            <w:r>
              <w:rPr>
                <w:rFonts w:hint="eastAsia" w:ascii="Times New Roman" w:hAnsi="Times New Roman" w:cs="Times New Roman"/>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20" w:type="dxa"/>
            <w:vMerge w:val="continue"/>
            <w:textDirection w:val="tbRlV"/>
            <w:vAlign w:val="center"/>
          </w:tcPr>
          <w:p>
            <w:pPr>
              <w:spacing w:line="360" w:lineRule="auto"/>
              <w:ind w:left="201" w:right="113" w:hanging="201" w:hangingChars="100"/>
              <w:jc w:val="center"/>
              <w:rPr>
                <w:rFonts w:ascii="宋体" w:hAnsi="宋体"/>
                <w:b/>
                <w:color w:val="000000" w:themeColor="text1"/>
                <w:sz w:val="20"/>
                <w:szCs w:val="20"/>
              </w:rPr>
            </w:pPr>
          </w:p>
        </w:tc>
        <w:tc>
          <w:tcPr>
            <w:tcW w:w="9198" w:type="dxa"/>
          </w:tcPr>
          <w:p>
            <w:pPr>
              <w:spacing w:line="360" w:lineRule="auto"/>
              <w:rPr>
                <w:rFonts w:hint="eastAsia"/>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360" w:lineRule="auto"/>
              <w:ind w:firstLine="400" w:firstLineChars="200"/>
              <w:rPr>
                <w:rFonts w:hint="eastAsia" w:eastAsia="宋体"/>
                <w:b/>
                <w:color w:val="000000" w:themeColor="text1"/>
                <w:sz w:val="20"/>
                <w:szCs w:val="20"/>
                <w:lang w:val="en-US" w:eastAsia="zh-CN"/>
              </w:rPr>
            </w:pPr>
            <w:r>
              <w:rPr>
                <w:rFonts w:hint="default" w:ascii="Times New Roman" w:hAnsi="Times New Roman" w:eastAsia="宋体" w:cs="Times New Roman"/>
                <w:sz w:val="20"/>
                <w:szCs w:val="20"/>
                <w:lang w:val="en-US" w:eastAsia="zh-CN"/>
              </w:rPr>
              <w:t>公司确定了与质量、环境、职业健康安全管理体系有关的相关方包括</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eastAsia="zh-CN"/>
              </w:rPr>
              <w:t>顾客/最终消费者、员工、政府、外部供方、竞争对手、社会相邻单位等；公司明确了相关方要求与期望、监测指标或项目、监测频率、监测部门等。</w:t>
            </w:r>
            <w:r>
              <w:rPr>
                <w:rFonts w:hint="eastAsia" w:ascii="Times New Roman" w:hAnsi="Times New Roman" w:eastAsia="宋体" w:cs="Times New Roman"/>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20" w:type="dxa"/>
            <w:vMerge w:val="continue"/>
            <w:textDirection w:val="tbRlV"/>
            <w:vAlign w:val="center"/>
          </w:tcPr>
          <w:p>
            <w:pPr>
              <w:spacing w:line="360" w:lineRule="auto"/>
              <w:ind w:left="201" w:right="113" w:hanging="201" w:hangingChars="100"/>
              <w:jc w:val="center"/>
              <w:rPr>
                <w:rFonts w:ascii="宋体" w:hAnsi="宋体"/>
                <w:b/>
                <w:color w:val="000000" w:themeColor="text1"/>
                <w:sz w:val="20"/>
                <w:szCs w:val="20"/>
              </w:rPr>
            </w:pPr>
          </w:p>
        </w:tc>
        <w:tc>
          <w:tcPr>
            <w:tcW w:w="9198" w:type="dxa"/>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质量环境职业健康安全方针：</w:t>
            </w:r>
          </w:p>
          <w:p>
            <w:pPr>
              <w:spacing w:line="360" w:lineRule="auto"/>
              <w:ind w:firstLine="400" w:firstLineChars="20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用户至上、产品求精、持续改进、质量兴企；</w:t>
            </w:r>
          </w:p>
          <w:p>
            <w:pPr>
              <w:spacing w:line="360" w:lineRule="auto"/>
              <w:ind w:firstLine="400" w:firstLineChars="20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遵纪守法、预防危害、防治污染、持续发展。</w:t>
            </w:r>
          </w:p>
          <w:p>
            <w:pPr>
              <w:spacing w:line="360" w:lineRule="auto"/>
              <w:ind w:firstLine="400" w:firstLineChars="200"/>
              <w:rPr>
                <w:b/>
                <w:color w:val="000000" w:themeColor="text1"/>
                <w:sz w:val="20"/>
                <w:szCs w:val="20"/>
              </w:rPr>
            </w:pPr>
            <w:r>
              <w:rPr>
                <w:rFonts w:hint="eastAsia" w:ascii="Times New Roman" w:hAnsi="Times New Roman" w:cs="Times New Roman"/>
                <w:sz w:val="20"/>
                <w:szCs w:val="20"/>
                <w:lang w:val="de-DE" w:eastAsia="zh-CN"/>
              </w:rPr>
              <w:t>方针适宜于公司现状，在管理手册中明确，通过文件发放，使员工获知，适用时提供给相关方。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20" w:type="dxa"/>
            <w:vMerge w:val="continue"/>
            <w:textDirection w:val="tbRlV"/>
            <w:vAlign w:val="center"/>
          </w:tcPr>
          <w:p>
            <w:pPr>
              <w:spacing w:line="360" w:lineRule="auto"/>
              <w:ind w:left="201" w:right="113" w:hanging="201" w:hangingChars="100"/>
              <w:jc w:val="center"/>
              <w:rPr>
                <w:rFonts w:ascii="宋体" w:hAnsi="宋体"/>
                <w:b/>
                <w:color w:val="000000" w:themeColor="text1"/>
                <w:sz w:val="20"/>
                <w:szCs w:val="20"/>
              </w:rPr>
            </w:pPr>
          </w:p>
        </w:tc>
        <w:tc>
          <w:tcPr>
            <w:tcW w:w="9198" w:type="dxa"/>
          </w:tcPr>
          <w:p>
            <w:pPr>
              <w:spacing w:line="360" w:lineRule="auto"/>
              <w:rPr>
                <w:rFonts w:hint="eastAsia"/>
                <w:b/>
                <w:color w:val="000000" w:themeColor="text1"/>
                <w:sz w:val="20"/>
                <w:szCs w:val="20"/>
              </w:rPr>
            </w:pPr>
            <w:r>
              <w:rPr>
                <w:b/>
                <w:color w:val="000000" w:themeColor="text1"/>
                <w:sz w:val="20"/>
                <w:szCs w:val="20"/>
              </w:rPr>
              <w:t>4、</w:t>
            </w:r>
            <w:r>
              <w:rPr>
                <w:rFonts w:hint="eastAsia"/>
                <w:b/>
                <w:color w:val="000000" w:themeColor="text1"/>
                <w:sz w:val="20"/>
                <w:szCs w:val="20"/>
              </w:rPr>
              <w:t>风险识别与控制策划（QMS）</w:t>
            </w:r>
          </w:p>
          <w:p>
            <w:pPr>
              <w:spacing w:line="360" w:lineRule="auto"/>
              <w:ind w:firstLine="400" w:firstLineChars="200"/>
              <w:rPr>
                <w:rFonts w:hint="eastAsia"/>
                <w:sz w:val="20"/>
                <w:szCs w:val="20"/>
                <w:lang w:val="en-US" w:eastAsia="zh-CN"/>
              </w:rPr>
            </w:pPr>
            <w:r>
              <w:rPr>
                <w:rFonts w:hint="eastAsia"/>
                <w:sz w:val="20"/>
                <w:szCs w:val="20"/>
                <w:lang w:val="en-US" w:eastAsia="zh-CN"/>
              </w:rPr>
              <w:t>基于对4.1和4.2的考虑，分析了公司存在的风险和机遇：</w:t>
            </w:r>
          </w:p>
          <w:p>
            <w:pPr>
              <w:spacing w:line="360" w:lineRule="auto"/>
              <w:ind w:firstLine="400" w:firstLineChars="200"/>
              <w:rPr>
                <w:rFonts w:hint="default"/>
                <w:sz w:val="20"/>
                <w:szCs w:val="20"/>
                <w:lang w:val="en-US" w:eastAsia="zh-CN"/>
              </w:rPr>
            </w:pPr>
            <w:r>
              <w:rPr>
                <w:rFonts w:hint="eastAsia"/>
                <w:sz w:val="20"/>
                <w:szCs w:val="20"/>
                <w:lang w:val="en-US" w:eastAsia="zh-CN"/>
              </w:rPr>
              <w:t>机遇：政策影响和经济发展的走势，基本建设的发展</w:t>
            </w:r>
            <w:r>
              <w:rPr>
                <w:rFonts w:hint="default"/>
                <w:sz w:val="20"/>
                <w:szCs w:val="20"/>
                <w:lang w:val="en-US" w:eastAsia="zh-CN"/>
              </w:rPr>
              <w:t>对企业有较好的</w:t>
            </w:r>
            <w:r>
              <w:rPr>
                <w:rFonts w:hint="eastAsia"/>
                <w:sz w:val="20"/>
                <w:szCs w:val="20"/>
                <w:lang w:val="en-US" w:eastAsia="zh-CN"/>
              </w:rPr>
              <w:t>的发展机遇</w:t>
            </w:r>
            <w:r>
              <w:rPr>
                <w:rFonts w:hint="default"/>
                <w:sz w:val="20"/>
                <w:szCs w:val="20"/>
                <w:lang w:val="en-US" w:eastAsia="zh-CN"/>
              </w:rPr>
              <w:t>。</w:t>
            </w:r>
          </w:p>
          <w:p>
            <w:pPr>
              <w:spacing w:line="360" w:lineRule="auto"/>
              <w:ind w:firstLine="400" w:firstLineChars="200"/>
              <w:rPr>
                <w:rFonts w:hint="default"/>
                <w:sz w:val="20"/>
                <w:szCs w:val="20"/>
                <w:lang w:val="en-US" w:eastAsia="zh-CN"/>
              </w:rPr>
            </w:pPr>
            <w:r>
              <w:rPr>
                <w:rFonts w:hint="eastAsia"/>
                <w:sz w:val="20"/>
                <w:szCs w:val="20"/>
                <w:lang w:val="en-US" w:eastAsia="zh-CN"/>
              </w:rPr>
              <w:t>风险：原材料价格波动较大，产业政策的变化，竞争对手的发展可能给公司带来发展的风险</w:t>
            </w:r>
            <w:r>
              <w:rPr>
                <w:rFonts w:hint="default"/>
                <w:sz w:val="20"/>
                <w:szCs w:val="20"/>
                <w:lang w:val="en-US" w:eastAsia="zh-CN"/>
              </w:rPr>
              <w:t>。</w:t>
            </w:r>
          </w:p>
          <w:p>
            <w:pPr>
              <w:spacing w:line="360" w:lineRule="auto"/>
              <w:ind w:firstLine="400" w:firstLineChars="200"/>
              <w:rPr>
                <w:rFonts w:hint="default"/>
                <w:sz w:val="20"/>
                <w:szCs w:val="20"/>
                <w:lang w:val="en-US" w:eastAsia="zh-CN"/>
              </w:rPr>
            </w:pPr>
            <w:r>
              <w:rPr>
                <w:rFonts w:hint="default"/>
                <w:sz w:val="20"/>
                <w:szCs w:val="20"/>
                <w:lang w:val="en-US" w:eastAsia="zh-CN"/>
              </w:rPr>
              <w:t>编制有《风险和机遇的应对控制程序》，对组织内外的风险和机遇进行了策划。</w:t>
            </w:r>
            <w:r>
              <w:rPr>
                <w:rFonts w:hint="eastAsia"/>
                <w:sz w:val="20"/>
                <w:szCs w:val="20"/>
                <w:lang w:val="en-US" w:eastAsia="zh-CN"/>
              </w:rPr>
              <w:t>介绍说，公司</w:t>
            </w:r>
            <w:r>
              <w:rPr>
                <w:rFonts w:hint="default"/>
                <w:sz w:val="20"/>
                <w:szCs w:val="20"/>
                <w:lang w:val="en-US" w:eastAsia="zh-CN"/>
              </w:rPr>
              <w:t>识别了风险和机遇来源、风险和机遇内容、管理措施、责任部门、实时时间、评价措施等</w:t>
            </w:r>
            <w:r>
              <w:rPr>
                <w:rFonts w:hint="eastAsia"/>
                <w:sz w:val="20"/>
                <w:szCs w:val="20"/>
                <w:lang w:val="en-US" w:eastAsia="zh-CN"/>
              </w:rPr>
              <w:t>；</w:t>
            </w:r>
          </w:p>
          <w:p>
            <w:pPr>
              <w:spacing w:line="360" w:lineRule="auto"/>
              <w:ind w:firstLine="400" w:firstLineChars="200"/>
              <w:rPr>
                <w:rFonts w:hint="eastAsia" w:eastAsia="宋体"/>
                <w:b/>
                <w:color w:val="000000" w:themeColor="text1"/>
                <w:sz w:val="20"/>
                <w:szCs w:val="20"/>
                <w:lang w:val="en-US" w:eastAsia="zh-CN"/>
              </w:rPr>
            </w:pPr>
            <w:r>
              <w:rPr>
                <w:rFonts w:hint="eastAsia"/>
                <w:sz w:val="20"/>
                <w:szCs w:val="20"/>
                <w:lang w:val="en-US" w:eastAsia="zh-CN"/>
              </w:rPr>
              <w:t>为应对相应风险和机遇，公司依据GB/T19001-2016、GB/T24001-2016、GB/T45001-2020标准的要求并结合本公司的具体情况，采取PDCA的过程方法，建立、实施、保持并持续改进质量、环境、职业健康安全管理体系。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360" w:lineRule="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eastAsia="宋体" w:cs="Times New Roman"/>
                <w:b/>
                <w:color w:val="000000" w:themeColor="text1"/>
                <w:sz w:val="20"/>
                <w:szCs w:val="20"/>
                <w:lang w:val="en-US" w:eastAsia="zh-CN"/>
              </w:rPr>
              <w:t>准备－投料－反应－罐装</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投料、反应  ，</w:t>
            </w:r>
          </w:p>
          <w:p>
            <w:pPr>
              <w:tabs>
                <w:tab w:val="left" w:pos="540"/>
              </w:tabs>
              <w:spacing w:line="360" w:lineRule="auto"/>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w:t>
            </w:r>
          </w:p>
          <w:p>
            <w:pPr>
              <w:tabs>
                <w:tab w:val="left" w:pos="540"/>
              </w:tabs>
              <w:spacing w:line="360" w:lineRule="auto"/>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val="0"/>
                <w:bCs/>
                <w:color w:val="000000" w:themeColor="text1"/>
                <w:sz w:val="20"/>
                <w:szCs w:val="20"/>
                <w:u w:val="single"/>
              </w:rPr>
              <w:t xml:space="preserve">本公司建筑添加剂（减水剂）的生产，按照顾客要求，国家或行业相关标准要求进行制造生产，其生产过程不涉及GB/T19001-2016/ISO 9001：2015标准中8.3条款内容，其不适用的要求不影响组织确保其产品和服务合格的能力和责任，对增强顾客满意也不会产生影响.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60" w:lineRule="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ind w:firstLine="400" w:firstLineChars="200"/>
              <w:rPr>
                <w:rFonts w:hint="default"/>
                <w:sz w:val="20"/>
                <w:szCs w:val="20"/>
                <w:lang w:val="en-US" w:eastAsia="zh-CN"/>
              </w:rPr>
            </w:pPr>
            <w:r>
              <w:rPr>
                <w:rFonts w:hint="default"/>
                <w:sz w:val="20"/>
                <w:szCs w:val="20"/>
                <w:lang w:val="en-US" w:eastAsia="zh-CN"/>
              </w:rPr>
              <w:t>重大环境因素：</w:t>
            </w:r>
            <w:r>
              <w:rPr>
                <w:rFonts w:hint="eastAsia"/>
                <w:sz w:val="20"/>
                <w:szCs w:val="20"/>
                <w:lang w:val="en-US" w:eastAsia="zh-CN"/>
              </w:rPr>
              <w:t>固体废物排放、潜在火灾、噪声排放、粉尘排放</w:t>
            </w:r>
            <w:r>
              <w:rPr>
                <w:rFonts w:hint="default"/>
                <w:sz w:val="20"/>
                <w:szCs w:val="20"/>
                <w:lang w:val="en-US" w:eastAsia="zh-CN"/>
              </w:rPr>
              <w:t>；</w:t>
            </w:r>
          </w:p>
          <w:p>
            <w:pPr>
              <w:spacing w:line="360" w:lineRule="auto"/>
              <w:ind w:firstLine="400" w:firstLineChars="200"/>
              <w:rPr>
                <w:rFonts w:hint="eastAsia"/>
                <w:sz w:val="20"/>
                <w:szCs w:val="20"/>
                <w:lang w:val="en-US" w:eastAsia="zh-CN"/>
              </w:rPr>
            </w:pPr>
            <w:r>
              <w:rPr>
                <w:rFonts w:hint="eastAsia"/>
                <w:sz w:val="20"/>
                <w:szCs w:val="20"/>
                <w:lang w:val="en-US" w:eastAsia="zh-CN"/>
              </w:rPr>
              <w:t>通用措施——</w:t>
            </w:r>
          </w:p>
          <w:p>
            <w:pPr>
              <w:spacing w:line="360" w:lineRule="auto"/>
              <w:ind w:firstLine="400" w:firstLineChars="200"/>
              <w:rPr>
                <w:rFonts w:hint="eastAsia"/>
                <w:sz w:val="20"/>
                <w:szCs w:val="20"/>
                <w:lang w:val="en-US" w:eastAsia="zh-CN"/>
              </w:rPr>
            </w:pPr>
            <w:r>
              <w:rPr>
                <w:rFonts w:hint="eastAsia"/>
                <w:sz w:val="20"/>
                <w:szCs w:val="20"/>
                <w:lang w:val="en-US" w:eastAsia="zh-CN"/>
              </w:rPr>
              <w:t>制定目标、指标，编制运行控制文件，运行控制；一旦发生按相关应急预案执行。</w:t>
            </w:r>
          </w:p>
          <w:p>
            <w:pPr>
              <w:spacing w:line="360" w:lineRule="auto"/>
              <w:ind w:firstLine="400" w:firstLineChars="200"/>
              <w:rPr>
                <w:rFonts w:hint="eastAsia"/>
                <w:sz w:val="20"/>
                <w:szCs w:val="20"/>
                <w:lang w:val="en-US" w:eastAsia="zh-CN"/>
              </w:rPr>
            </w:pPr>
            <w:r>
              <w:rPr>
                <w:rFonts w:hint="eastAsia"/>
                <w:sz w:val="20"/>
                <w:szCs w:val="20"/>
                <w:lang w:val="en-US" w:eastAsia="zh-CN"/>
              </w:rPr>
              <w:t>固（危）废——</w:t>
            </w:r>
          </w:p>
          <w:p>
            <w:pPr>
              <w:spacing w:line="360" w:lineRule="auto"/>
              <w:ind w:firstLine="400" w:firstLineChars="200"/>
              <w:rPr>
                <w:rFonts w:hint="eastAsia"/>
                <w:sz w:val="20"/>
                <w:szCs w:val="20"/>
                <w:lang w:val="en-US" w:eastAsia="zh-CN"/>
              </w:rPr>
            </w:pPr>
            <w:r>
              <w:rPr>
                <w:rFonts w:hint="eastAsia"/>
                <w:sz w:val="20"/>
                <w:szCs w:val="20"/>
                <w:lang w:val="en-US" w:eastAsia="zh-CN"/>
              </w:rPr>
              <w:t>一般固废集中收集外售；危废以旧换新由供应商带回；</w:t>
            </w:r>
          </w:p>
          <w:p>
            <w:pPr>
              <w:spacing w:line="360" w:lineRule="auto"/>
              <w:ind w:firstLine="400" w:firstLineChars="200"/>
              <w:rPr>
                <w:rFonts w:hint="eastAsia"/>
                <w:sz w:val="20"/>
                <w:szCs w:val="20"/>
                <w:lang w:val="en-US" w:eastAsia="zh-CN"/>
              </w:rPr>
            </w:pPr>
            <w:r>
              <w:rPr>
                <w:rFonts w:hint="eastAsia"/>
                <w:sz w:val="20"/>
                <w:szCs w:val="20"/>
                <w:lang w:val="en-US" w:eastAsia="zh-CN"/>
              </w:rPr>
              <w:t>噪声排放——</w:t>
            </w:r>
          </w:p>
          <w:p>
            <w:pPr>
              <w:spacing w:line="360" w:lineRule="auto"/>
              <w:ind w:firstLine="400" w:firstLineChars="200"/>
              <w:rPr>
                <w:rFonts w:hint="eastAsia"/>
                <w:sz w:val="20"/>
                <w:szCs w:val="20"/>
                <w:lang w:val="en-US" w:eastAsia="zh-CN"/>
              </w:rPr>
            </w:pPr>
            <w:r>
              <w:rPr>
                <w:rFonts w:hint="eastAsia"/>
                <w:sz w:val="20"/>
                <w:szCs w:val="20"/>
                <w:lang w:val="en-US" w:eastAsia="zh-CN"/>
              </w:rPr>
              <w:t>选用低噪声设备，合理布局，隔声减震，厂房隔音；</w:t>
            </w:r>
          </w:p>
          <w:p>
            <w:pPr>
              <w:spacing w:line="360" w:lineRule="auto"/>
              <w:ind w:firstLine="400" w:firstLineChars="200"/>
              <w:rPr>
                <w:rFonts w:hint="eastAsia"/>
                <w:sz w:val="20"/>
                <w:szCs w:val="20"/>
                <w:lang w:val="en-US" w:eastAsia="zh-CN"/>
              </w:rPr>
            </w:pPr>
            <w:r>
              <w:rPr>
                <w:rFonts w:hint="eastAsia"/>
                <w:sz w:val="20"/>
                <w:szCs w:val="20"/>
                <w:lang w:val="en-US" w:eastAsia="zh-CN"/>
              </w:rPr>
              <w:t>潜在火灾——</w:t>
            </w:r>
          </w:p>
          <w:p>
            <w:pPr>
              <w:spacing w:line="360" w:lineRule="auto"/>
              <w:ind w:firstLine="400" w:firstLineChars="200"/>
              <w:rPr>
                <w:rFonts w:hint="eastAsia"/>
                <w:sz w:val="20"/>
                <w:szCs w:val="20"/>
                <w:lang w:val="en-US" w:eastAsia="zh-CN"/>
              </w:rPr>
            </w:pPr>
            <w:r>
              <w:rPr>
                <w:rFonts w:hint="eastAsia"/>
                <w:sz w:val="20"/>
                <w:szCs w:val="20"/>
                <w:lang w:val="en-US" w:eastAsia="zh-CN"/>
              </w:rPr>
              <w:t>设备、电路定期检修、检查，电工持证上岗；配置消防器材、做好火灾预防措施；</w:t>
            </w:r>
          </w:p>
          <w:p>
            <w:pPr>
              <w:spacing w:line="360" w:lineRule="auto"/>
              <w:ind w:firstLine="400" w:firstLineChars="200"/>
              <w:rPr>
                <w:rFonts w:hint="eastAsia"/>
                <w:sz w:val="20"/>
                <w:szCs w:val="20"/>
                <w:lang w:val="en-US" w:eastAsia="zh-CN"/>
              </w:rPr>
            </w:pPr>
            <w:r>
              <w:rPr>
                <w:rFonts w:hint="eastAsia"/>
                <w:sz w:val="20"/>
                <w:szCs w:val="20"/>
                <w:lang w:val="en-US" w:eastAsia="zh-CN"/>
              </w:rPr>
              <w:t>粉尘排放——</w:t>
            </w:r>
          </w:p>
          <w:p>
            <w:pPr>
              <w:spacing w:line="360" w:lineRule="auto"/>
              <w:ind w:firstLine="400" w:firstLineChars="200"/>
              <w:rPr>
                <w:b/>
                <w:color w:val="000000" w:themeColor="text1"/>
                <w:sz w:val="20"/>
                <w:szCs w:val="20"/>
              </w:rPr>
            </w:pPr>
            <w:r>
              <w:rPr>
                <w:rFonts w:hint="eastAsia"/>
                <w:sz w:val="20"/>
                <w:szCs w:val="20"/>
                <w:lang w:val="en-US" w:eastAsia="zh-CN"/>
              </w:rPr>
              <w:t>投料时和反应釜盖打开时少量粉尘和挥发性气体，经过集气罩抽排，通过排气筒有组织排放。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60" w:lineRule="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60" w:lineRule="auto"/>
              <w:ind w:firstLine="400" w:firstLineChars="200"/>
              <w:rPr>
                <w:rFonts w:hint="eastAsia"/>
                <w:sz w:val="20"/>
                <w:szCs w:val="20"/>
                <w:lang w:val="en-US" w:eastAsia="zh-CN"/>
              </w:rPr>
            </w:pPr>
            <w:r>
              <w:rPr>
                <w:rFonts w:hint="default"/>
                <w:sz w:val="20"/>
                <w:szCs w:val="20"/>
                <w:lang w:val="en-US" w:eastAsia="zh-CN"/>
              </w:rPr>
              <w:t>不可接受风险：</w:t>
            </w:r>
            <w:r>
              <w:rPr>
                <w:rFonts w:hint="eastAsia"/>
                <w:sz w:val="20"/>
                <w:szCs w:val="20"/>
                <w:lang w:val="en-US" w:eastAsia="zh-CN"/>
              </w:rPr>
              <w:t>机械伤害、火灾/触电、听力伤害、粉尘伤害、交通事故伤害</w:t>
            </w:r>
          </w:p>
          <w:p>
            <w:pPr>
              <w:spacing w:line="360" w:lineRule="auto"/>
              <w:ind w:firstLine="400" w:firstLineChars="200"/>
              <w:rPr>
                <w:rFonts w:hint="eastAsia"/>
                <w:sz w:val="20"/>
                <w:szCs w:val="20"/>
                <w:lang w:val="en-US" w:eastAsia="zh-CN"/>
              </w:rPr>
            </w:pPr>
            <w:r>
              <w:rPr>
                <w:rFonts w:hint="eastAsia"/>
                <w:sz w:val="20"/>
                <w:szCs w:val="20"/>
                <w:lang w:val="en-US" w:eastAsia="zh-CN"/>
              </w:rPr>
              <w:t>通用控制措施——</w:t>
            </w:r>
          </w:p>
          <w:p>
            <w:pPr>
              <w:spacing w:line="360" w:lineRule="auto"/>
              <w:ind w:firstLine="400" w:firstLineChars="200"/>
              <w:rPr>
                <w:rFonts w:hint="eastAsia"/>
                <w:sz w:val="20"/>
                <w:szCs w:val="20"/>
                <w:lang w:val="en-US" w:eastAsia="zh-CN"/>
              </w:rPr>
            </w:pPr>
            <w:r>
              <w:rPr>
                <w:rFonts w:hint="eastAsia"/>
                <w:sz w:val="20"/>
                <w:szCs w:val="20"/>
                <w:lang w:val="en-US" w:eastAsia="zh-CN"/>
              </w:rPr>
              <w:t>制定目标、指标，编制运行控制文件，运行控制；设置警示标志标识；一旦发生按相关应急预案执行。</w:t>
            </w:r>
          </w:p>
          <w:p>
            <w:pPr>
              <w:spacing w:line="360" w:lineRule="auto"/>
              <w:ind w:firstLine="400" w:firstLineChars="200"/>
              <w:rPr>
                <w:rFonts w:hint="eastAsia"/>
                <w:sz w:val="20"/>
                <w:szCs w:val="20"/>
                <w:lang w:val="en-US" w:eastAsia="zh-CN"/>
              </w:rPr>
            </w:pPr>
            <w:r>
              <w:rPr>
                <w:rFonts w:hint="eastAsia"/>
                <w:sz w:val="20"/>
                <w:szCs w:val="20"/>
                <w:lang w:val="en-US" w:eastAsia="zh-CN"/>
              </w:rPr>
              <w:t>火灾，触电——</w:t>
            </w:r>
          </w:p>
          <w:p>
            <w:pPr>
              <w:spacing w:line="360" w:lineRule="auto"/>
              <w:ind w:firstLine="400" w:firstLineChars="200"/>
              <w:rPr>
                <w:rFonts w:hint="eastAsia"/>
                <w:sz w:val="20"/>
                <w:szCs w:val="20"/>
                <w:lang w:val="en-US" w:eastAsia="zh-CN"/>
              </w:rPr>
            </w:pPr>
            <w:r>
              <w:rPr>
                <w:rFonts w:hint="eastAsia"/>
                <w:sz w:val="20"/>
                <w:szCs w:val="20"/>
                <w:lang w:val="en-US" w:eastAsia="zh-CN"/>
              </w:rPr>
              <w:t>设备、电路定期检修、检查，电工持证上岗；配置消防器材、做好火灾预防措施；</w:t>
            </w:r>
          </w:p>
          <w:p>
            <w:pPr>
              <w:spacing w:line="360" w:lineRule="auto"/>
              <w:ind w:firstLine="400" w:firstLineChars="200"/>
              <w:rPr>
                <w:rFonts w:hint="eastAsia"/>
                <w:sz w:val="20"/>
                <w:szCs w:val="20"/>
                <w:lang w:val="en-US" w:eastAsia="zh-CN"/>
              </w:rPr>
            </w:pPr>
            <w:r>
              <w:rPr>
                <w:rFonts w:hint="eastAsia"/>
                <w:sz w:val="20"/>
                <w:szCs w:val="20"/>
                <w:lang w:val="en-US" w:eastAsia="zh-CN"/>
              </w:rPr>
              <w:t>听力伤害——</w:t>
            </w:r>
          </w:p>
          <w:p>
            <w:pPr>
              <w:spacing w:line="360" w:lineRule="auto"/>
              <w:ind w:firstLine="400" w:firstLineChars="200"/>
              <w:rPr>
                <w:rFonts w:hint="eastAsia"/>
                <w:sz w:val="20"/>
                <w:szCs w:val="20"/>
                <w:lang w:val="en-US" w:eastAsia="zh-CN"/>
              </w:rPr>
            </w:pPr>
            <w:r>
              <w:rPr>
                <w:rFonts w:hint="eastAsia"/>
                <w:sz w:val="20"/>
                <w:szCs w:val="20"/>
                <w:lang w:val="en-US" w:eastAsia="zh-CN"/>
              </w:rPr>
              <w:t>选用低噪声设备，合理布局，隔声减震，厂房隔音；加强厂区绿化吸收噪音；</w:t>
            </w:r>
          </w:p>
          <w:p>
            <w:pPr>
              <w:spacing w:line="360" w:lineRule="auto"/>
              <w:ind w:firstLine="400" w:firstLineChars="200"/>
              <w:rPr>
                <w:rFonts w:hint="eastAsia"/>
                <w:sz w:val="20"/>
                <w:szCs w:val="20"/>
                <w:lang w:val="en-US" w:eastAsia="zh-CN"/>
              </w:rPr>
            </w:pPr>
            <w:r>
              <w:rPr>
                <w:rFonts w:hint="eastAsia"/>
                <w:sz w:val="20"/>
                <w:szCs w:val="20"/>
                <w:lang w:val="en-US" w:eastAsia="zh-CN"/>
              </w:rPr>
              <w:t>机械伤害——</w:t>
            </w:r>
          </w:p>
          <w:p>
            <w:pPr>
              <w:spacing w:line="360" w:lineRule="auto"/>
              <w:ind w:firstLine="400" w:firstLineChars="200"/>
              <w:rPr>
                <w:rFonts w:hint="eastAsia"/>
                <w:sz w:val="20"/>
                <w:szCs w:val="20"/>
                <w:lang w:val="en-US" w:eastAsia="zh-CN"/>
              </w:rPr>
            </w:pPr>
            <w:r>
              <w:rPr>
                <w:rFonts w:hint="eastAsia"/>
                <w:sz w:val="20"/>
                <w:szCs w:val="20"/>
                <w:lang w:val="en-US" w:eastAsia="zh-CN"/>
              </w:rPr>
              <w:t>设备设施安全防护、加强安全教育，按章作业，加强工艺纪律检查；</w:t>
            </w:r>
          </w:p>
          <w:p>
            <w:pPr>
              <w:spacing w:line="360" w:lineRule="auto"/>
              <w:ind w:firstLine="400" w:firstLineChars="200"/>
              <w:rPr>
                <w:rFonts w:hint="eastAsia"/>
                <w:sz w:val="20"/>
                <w:szCs w:val="20"/>
                <w:lang w:val="en-US" w:eastAsia="zh-CN"/>
              </w:rPr>
            </w:pPr>
            <w:r>
              <w:rPr>
                <w:rFonts w:hint="eastAsia"/>
                <w:sz w:val="20"/>
                <w:szCs w:val="20"/>
                <w:lang w:val="en-US" w:eastAsia="zh-CN"/>
              </w:rPr>
              <w:t>粉尘伤害——</w:t>
            </w:r>
          </w:p>
          <w:p>
            <w:pPr>
              <w:spacing w:line="360" w:lineRule="auto"/>
              <w:ind w:firstLine="400" w:firstLineChars="200"/>
              <w:rPr>
                <w:rFonts w:hint="eastAsia" w:eastAsia="宋体"/>
                <w:b/>
                <w:color w:val="000000" w:themeColor="text1"/>
                <w:sz w:val="20"/>
                <w:szCs w:val="20"/>
                <w:lang w:val="en-US" w:eastAsia="zh-CN"/>
              </w:rPr>
            </w:pPr>
            <w:r>
              <w:rPr>
                <w:rFonts w:hint="eastAsia"/>
                <w:sz w:val="20"/>
                <w:szCs w:val="20"/>
                <w:lang w:val="en-US" w:eastAsia="zh-CN"/>
              </w:rPr>
              <w:t>经过集气罩抽排，通过排气筒有组织排放，使用个人防护用品。</w:t>
            </w:r>
            <w:r>
              <w:rPr>
                <w:rFonts w:hint="eastAsia" w:ascii="宋体" w:hAnsi="宋体"/>
                <w:b/>
                <w:color w:val="000000" w:themeColor="text1"/>
                <w:spacing w:val="-8"/>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b/>
                <w:color w:val="000000" w:themeColor="text1"/>
                <w:spacing w:val="-4"/>
                <w:sz w:val="20"/>
                <w:szCs w:val="20"/>
              </w:rPr>
            </w:pPr>
            <w:r>
              <w:rPr>
                <w:rFonts w:hint="eastAsia"/>
                <w:b/>
                <w:color w:val="000000" w:themeColor="text1"/>
                <w:sz w:val="20"/>
                <w:szCs w:val="20"/>
              </w:rPr>
              <w:t xml:space="preserve">4. </w:t>
            </w:r>
            <w:r>
              <w:rPr>
                <w:rFonts w:hint="eastAsia" w:ascii="宋体" w:hAnsi="宋体"/>
                <w:b/>
                <w:color w:val="000000" w:themeColor="text1"/>
                <w:spacing w:val="-4"/>
                <w:sz w:val="20"/>
                <w:szCs w:val="20"/>
              </w:rPr>
              <w:t>法律法规及其他要求</w:t>
            </w:r>
          </w:p>
          <w:p>
            <w:pPr>
              <w:tabs>
                <w:tab w:val="left" w:pos="540"/>
              </w:tabs>
              <w:spacing w:line="360" w:lineRule="auto"/>
              <w:ind w:left="211" w:hanging="201" w:hangingChars="100"/>
              <w:rPr>
                <w:rFonts w:ascii="宋体" w:hAnsi="宋体"/>
                <w:b/>
                <w:color w:val="000000" w:themeColor="text1"/>
                <w:sz w:val="20"/>
                <w:szCs w:val="20"/>
              </w:rPr>
            </w:pPr>
          </w:p>
          <w:p>
            <w:pPr>
              <w:pStyle w:val="12"/>
              <w:numPr>
                <w:ilvl w:val="0"/>
                <w:numId w:val="2"/>
              </w:numPr>
              <w:tabs>
                <w:tab w:val="left" w:pos="540"/>
              </w:tabs>
              <w:spacing w:line="360" w:lineRule="auto"/>
              <w:ind w:firstLineChars="0"/>
              <w:rPr>
                <w:rFonts w:ascii="宋体" w:hAnsi="宋体"/>
                <w:b/>
                <w:color w:val="000000" w:themeColor="text1"/>
                <w:sz w:val="20"/>
                <w:szCs w:val="20"/>
                <w:u w:val="single"/>
              </w:rPr>
            </w:pPr>
            <w:r>
              <w:rPr>
                <w:rFonts w:hint="eastAsia" w:ascii="宋体" w:hAnsi="宋体"/>
                <w:b/>
                <w:color w:val="000000" w:themeColor="text1"/>
                <w:sz w:val="20"/>
                <w:szCs w:val="20"/>
              </w:rPr>
              <w:t>获取法律法规项，</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法律法规获取充分，</w:t>
            </w:r>
            <w:r>
              <w:rPr>
                <w:rFonts w:hint="eastAsia" w:ascii="宋体" w:hAnsi="宋体"/>
                <w:b/>
                <w:color w:val="000000" w:themeColor="text1"/>
                <w:sz w:val="20"/>
                <w:szCs w:val="20"/>
              </w:rPr>
              <w:sym w:font="Wingdings 2" w:char="00A3"/>
            </w:r>
            <w:r>
              <w:rPr>
                <w:rFonts w:hint="eastAsia" w:ascii="宋体" w:hAnsi="宋体"/>
                <w:b/>
                <w:color w:val="000000" w:themeColor="text1"/>
                <w:sz w:val="20"/>
                <w:szCs w:val="20"/>
              </w:rPr>
              <w:t>法律法规获取有遗漏，缺少</w:t>
            </w:r>
          </w:p>
          <w:p>
            <w:pPr>
              <w:pStyle w:val="12"/>
              <w:numPr>
                <w:ilvl w:val="0"/>
                <w:numId w:val="2"/>
              </w:numPr>
              <w:tabs>
                <w:tab w:val="left" w:pos="540"/>
              </w:tabs>
              <w:spacing w:line="360" w:lineRule="auto"/>
              <w:ind w:firstLineChars="0"/>
              <w:rPr>
                <w:rFonts w:ascii="宋体" w:hAnsi="宋体"/>
                <w:b/>
                <w:color w:val="000000" w:themeColor="text1"/>
                <w:sz w:val="20"/>
                <w:szCs w:val="20"/>
              </w:rPr>
            </w:pPr>
            <w:r>
              <w:rPr>
                <w:rFonts w:hint="eastAsia" w:ascii="宋体" w:hAnsi="宋体"/>
                <w:b/>
                <w:color w:val="000000" w:themeColor="text1"/>
                <w:sz w:val="20"/>
                <w:szCs w:val="20"/>
              </w:rPr>
              <w:t>结合公司的</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产品/服务</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环境因素</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危险源，</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确定 □未确定法律法规要求的具体条款，</w:t>
            </w:r>
          </w:p>
          <w:p>
            <w:pPr>
              <w:pStyle w:val="12"/>
              <w:numPr>
                <w:ilvl w:val="0"/>
                <w:numId w:val="2"/>
              </w:numPr>
              <w:tabs>
                <w:tab w:val="left" w:pos="540"/>
              </w:tabs>
              <w:spacing w:line="360" w:lineRule="auto"/>
              <w:ind w:firstLineChars="0"/>
              <w:rPr>
                <w:rFonts w:ascii="宋体" w:hAnsi="宋体"/>
                <w:b/>
                <w:color w:val="000000" w:themeColor="text1"/>
                <w:sz w:val="20"/>
                <w:szCs w:val="20"/>
              </w:rPr>
            </w:pPr>
            <w:r>
              <w:rPr>
                <w:rFonts w:hint="eastAsia" w:ascii="宋体" w:hAnsi="宋体"/>
                <w:b/>
                <w:color w:val="000000" w:themeColor="text1"/>
                <w:sz w:val="20"/>
                <w:szCs w:val="20"/>
              </w:rPr>
              <w:t>法律法规的宣传方式：</w:t>
            </w:r>
          </w:p>
          <w:p>
            <w:pPr>
              <w:pStyle w:val="12"/>
              <w:numPr>
                <w:ilvl w:val="0"/>
                <w:numId w:val="2"/>
              </w:numPr>
              <w:tabs>
                <w:tab w:val="left" w:pos="540"/>
              </w:tabs>
              <w:spacing w:line="360" w:lineRule="auto"/>
              <w:ind w:firstLineChars="0"/>
              <w:rPr>
                <w:rFonts w:ascii="宋体" w:hAnsi="宋体"/>
                <w:b/>
                <w:color w:val="000000" w:themeColor="text1"/>
                <w:sz w:val="20"/>
                <w:szCs w:val="20"/>
              </w:rPr>
            </w:pPr>
            <w:r>
              <w:rPr>
                <w:rFonts w:hint="eastAsia" w:ascii="宋体" w:hAnsi="宋体"/>
                <w:b/>
                <w:color w:val="000000" w:themeColor="text1"/>
                <w:sz w:val="20"/>
                <w:szCs w:val="20"/>
              </w:rPr>
              <w:t>法律法规要求及时更新了</w:t>
            </w:r>
          </w:p>
          <w:p>
            <w:pPr>
              <w:tabs>
                <w:tab w:val="left" w:pos="0"/>
              </w:tabs>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 xml:space="preserve">5. </w:t>
            </w:r>
            <w:r>
              <w:rPr>
                <w:rFonts w:hint="eastAsia" w:ascii="宋体" w:hAnsi="宋体"/>
                <w:b/>
                <w:color w:val="000000" w:themeColor="text1"/>
                <w:sz w:val="20"/>
                <w:szCs w:val="20"/>
              </w:rPr>
              <w:t>目标、方案</w:t>
            </w:r>
          </w:p>
          <w:p>
            <w:pPr>
              <w:spacing w:line="360" w:lineRule="auto"/>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管理目标：</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质量目标：</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产品出厂合格率100%；</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顾客满意度96分以上；</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环保安全目标：</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固体废弃物分类管理，处理率为100%；</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重大火灾事故为0；</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职业病发病率为0；</w:t>
            </w:r>
          </w:p>
          <w:p>
            <w:pPr>
              <w:spacing w:line="360" w:lineRule="auto"/>
              <w:ind w:firstLine="400" w:firstLineChars="200"/>
              <w:rPr>
                <w:rFonts w:hint="eastAsia"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员工重大责任伤亡率为0；</w:t>
            </w:r>
          </w:p>
          <w:p>
            <w:pPr>
              <w:spacing w:line="360" w:lineRule="auto"/>
              <w:ind w:firstLine="400" w:firstLineChars="20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制定“环境目标、指标/职业健康安全目标与管理方案及实施情况一览表”，对重要环境因素和重大危险源进行了控制策划；</w:t>
            </w:r>
          </w:p>
          <w:p>
            <w:pPr>
              <w:spacing w:line="360" w:lineRule="auto"/>
              <w:ind w:firstLine="400" w:firstLineChars="200"/>
              <w:rPr>
                <w:rFonts w:ascii="宋体" w:hAnsi="宋体"/>
                <w:b/>
                <w:color w:val="000000" w:themeColor="text1"/>
                <w:sz w:val="20"/>
                <w:szCs w:val="20"/>
              </w:rPr>
            </w:pPr>
            <w:r>
              <w:rPr>
                <w:rFonts w:hint="eastAsia" w:ascii="Times New Roman" w:hAnsi="Times New Roman" w:cs="Times New Roman"/>
                <w:sz w:val="20"/>
                <w:szCs w:val="20"/>
                <w:lang w:val="en-US" w:eastAsia="zh-CN"/>
              </w:rPr>
              <w:t>通过“</w:t>
            </w:r>
            <w:r>
              <w:rPr>
                <w:rFonts w:hint="default" w:ascii="Times New Roman" w:hAnsi="Times New Roman" w:cs="Times New Roman"/>
                <w:sz w:val="20"/>
                <w:szCs w:val="20"/>
                <w:lang w:val="en-US" w:eastAsia="zh-CN"/>
              </w:rPr>
              <w:t>质量\环境\职业健康安全目标分解考核表</w:t>
            </w:r>
            <w:r>
              <w:rPr>
                <w:rFonts w:hint="eastAsia" w:ascii="Times New Roman" w:hAnsi="Times New Roman" w:cs="Times New Roman"/>
                <w:sz w:val="20"/>
                <w:szCs w:val="20"/>
                <w:lang w:val="en-US" w:eastAsia="zh-CN"/>
              </w:rPr>
              <w:t>”，对目标进行分解到各部门，对目标实现进行了策划；显示2021年1-3月对目标完成情况进行了季度考核，均完成。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00" w:firstLineChars="200"/>
              <w:rPr>
                <w:rFonts w:hint="eastAsia"/>
                <w:sz w:val="20"/>
                <w:szCs w:val="20"/>
              </w:rPr>
            </w:pPr>
            <w:r>
              <w:rPr>
                <w:rFonts w:hint="eastAsia"/>
                <w:sz w:val="20"/>
                <w:szCs w:val="20"/>
                <w:lang w:val="en-US" w:eastAsia="zh-CN"/>
              </w:rPr>
              <w:t>管理手册——A/0，</w:t>
            </w:r>
            <w:r>
              <w:rPr>
                <w:rFonts w:hint="eastAsia"/>
                <w:sz w:val="20"/>
                <w:szCs w:val="20"/>
              </w:rPr>
              <w:t>2021年01月10日</w:t>
            </w:r>
          </w:p>
          <w:p>
            <w:pPr>
              <w:spacing w:line="360" w:lineRule="auto"/>
              <w:ind w:firstLine="400" w:firstLineChars="200"/>
              <w:rPr>
                <w:rFonts w:hint="eastAsia"/>
                <w:sz w:val="20"/>
                <w:szCs w:val="20"/>
                <w:lang w:val="en-US" w:eastAsia="zh-CN"/>
              </w:rPr>
            </w:pPr>
            <w:r>
              <w:rPr>
                <w:rFonts w:hint="eastAsia"/>
                <w:sz w:val="20"/>
                <w:szCs w:val="20"/>
                <w:lang w:val="en-US" w:eastAsia="zh-CN"/>
              </w:rPr>
              <w:t>程序文件——A/0，</w:t>
            </w:r>
            <w:r>
              <w:rPr>
                <w:rFonts w:hint="eastAsia"/>
                <w:sz w:val="20"/>
                <w:szCs w:val="20"/>
              </w:rPr>
              <w:t>2021年01月10日</w:t>
            </w:r>
            <w:r>
              <w:rPr>
                <w:rFonts w:hint="eastAsia"/>
                <w:sz w:val="20"/>
                <w:szCs w:val="20"/>
                <w:lang w:eastAsia="zh-CN"/>
              </w:rPr>
              <w:t>，</w:t>
            </w:r>
            <w:r>
              <w:rPr>
                <w:rFonts w:hint="eastAsia"/>
                <w:sz w:val="20"/>
                <w:szCs w:val="20"/>
                <w:lang w:val="en-US" w:eastAsia="zh-CN"/>
              </w:rPr>
              <w:t>27个；</w:t>
            </w:r>
          </w:p>
          <w:p>
            <w:pPr>
              <w:spacing w:line="360" w:lineRule="auto"/>
              <w:ind w:firstLine="400" w:firstLineChars="200"/>
              <w:rPr>
                <w:rFonts w:hint="eastAsia"/>
                <w:sz w:val="20"/>
                <w:szCs w:val="20"/>
                <w:lang w:val="en-US" w:eastAsia="zh-CN"/>
              </w:rPr>
            </w:pPr>
            <w:r>
              <w:rPr>
                <w:rFonts w:hint="eastAsia"/>
                <w:sz w:val="20"/>
                <w:szCs w:val="20"/>
                <w:lang w:val="en-US" w:eastAsia="zh-CN"/>
              </w:rPr>
              <w:t>管理文件——编制有工艺文件、操作规程等；</w:t>
            </w:r>
          </w:p>
          <w:p>
            <w:pPr>
              <w:spacing w:line="360" w:lineRule="auto"/>
              <w:ind w:firstLine="400" w:firstLineChars="200"/>
              <w:rPr>
                <w:rFonts w:hint="default"/>
                <w:sz w:val="20"/>
                <w:szCs w:val="20"/>
                <w:lang w:val="en-US" w:eastAsia="zh-CN"/>
              </w:rPr>
            </w:pPr>
            <w:r>
              <w:rPr>
                <w:rFonts w:hint="eastAsia"/>
                <w:sz w:val="20"/>
                <w:szCs w:val="20"/>
                <w:lang w:val="en-US" w:eastAsia="zh-CN"/>
              </w:rPr>
              <w:t>建立有外来文件清单，收集相关标准和法律，包括混凝土外加剂GB 8076-2008、聚羧酸系高性能减水剂JG/T223-2017等9项；</w:t>
            </w:r>
          </w:p>
          <w:p>
            <w:pPr>
              <w:spacing w:line="360" w:lineRule="auto"/>
              <w:ind w:firstLine="400" w:firstLineChars="200"/>
              <w:rPr>
                <w:rFonts w:hint="eastAsia"/>
                <w:sz w:val="20"/>
                <w:szCs w:val="20"/>
                <w:lang w:val="en-US" w:eastAsia="zh-CN"/>
              </w:rPr>
            </w:pPr>
            <w:r>
              <w:rPr>
                <w:rFonts w:hint="eastAsia"/>
                <w:sz w:val="20"/>
                <w:szCs w:val="20"/>
                <w:lang w:val="en-US" w:eastAsia="zh-CN"/>
              </w:rPr>
              <w:t>建立环境、职业健康安全法律法规和其他要求清单，共收集97部。</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文件化管理体系目前基本满足要求。</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——在编制体系文件时，对文件进行标识，主要有文件名称/编制部门/批准日期/文件编号等，经查管理手册/程序文件基本符合标准要求。</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管理体系文件经过总经理审批实施发布，经评审，目前文件和目录均适用。符合要求。</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——编制《文件控制程序》，内容符合基本标准要求。</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抽查：受控文件清单、管理评审计划、培训计划、环境因素、职业健康安全危险源识别与评价表等，其成文信息标识清晰，填写基本齐全、清晰，成文信息在文件柜中分类编目保存，成文信息的贮存和保护符合要求，检索方便。</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成文信息由各部门负责保存，以便查阅。</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0"/>
                <w:szCs w:val="20"/>
              </w:rPr>
            </w:pPr>
            <w:r>
              <w:rPr>
                <w:rFonts w:hint="eastAsia"/>
                <w:color w:val="auto"/>
                <w:sz w:val="20"/>
                <w:szCs w:val="20"/>
                <w:highlight w:val="none"/>
                <w:lang w:val="en-US" w:eastAsia="zh-CN"/>
              </w:rPr>
              <w:t>经查，基本符合标准要求。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20" w:type="dxa"/>
            <w:vMerge w:val="restart"/>
            <w:textDirection w:val="tbRlV"/>
            <w:vAlign w:val="center"/>
          </w:tcPr>
          <w:p>
            <w:pPr>
              <w:spacing w:line="360" w:lineRule="auto"/>
              <w:ind w:left="113" w:right="113"/>
              <w:jc w:val="center"/>
              <w:rPr>
                <w:b/>
                <w:color w:val="000000" w:themeColor="text1"/>
                <w:sz w:val="20"/>
                <w:szCs w:val="20"/>
              </w:rPr>
            </w:pPr>
            <w:r>
              <w:rPr>
                <w:b/>
                <w:color w:val="000000" w:themeColor="text1"/>
                <w:sz w:val="20"/>
                <w:szCs w:val="20"/>
              </w:rPr>
              <w:br w:type="page"/>
            </w:r>
            <w:r>
              <w:rPr>
                <w:rFonts w:hint="eastAsia" w:ascii="宋体" w:hAnsi="宋体"/>
                <w:b/>
                <w:color w:val="000000" w:themeColor="text1"/>
                <w:sz w:val="20"/>
                <w:szCs w:val="20"/>
              </w:rPr>
              <w:t>(二)资源评价</w:t>
            </w:r>
          </w:p>
        </w:tc>
        <w:tc>
          <w:tcPr>
            <w:tcW w:w="9198" w:type="dxa"/>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ascii="宋体" w:hAnsi="宋体"/>
                <w:b/>
                <w:color w:val="000000" w:themeColor="text1"/>
                <w:sz w:val="20"/>
                <w:szCs w:val="20"/>
              </w:rPr>
            </w:pPr>
            <w:r>
              <w:rPr>
                <w:rFonts w:hint="eastAsia"/>
                <w:color w:val="auto"/>
                <w:sz w:val="20"/>
                <w:szCs w:val="20"/>
                <w:highlight w:val="none"/>
                <w:lang w:val="en-US" w:eastAsia="zh-CN"/>
              </w:rPr>
              <w:t>公司现有人员</w:t>
            </w:r>
            <w:r>
              <w:rPr>
                <w:rFonts w:hint="eastAsia" w:ascii="宋体"/>
                <w:b/>
                <w:sz w:val="20"/>
                <w:szCs w:val="20"/>
                <w:highlight w:val="none"/>
                <w:lang w:val="en-US" w:eastAsia="zh-CN"/>
              </w:rPr>
              <w:t>15</w:t>
            </w:r>
            <w:r>
              <w:rPr>
                <w:rFonts w:hint="eastAsia"/>
                <w:color w:val="auto"/>
                <w:sz w:val="20"/>
                <w:szCs w:val="20"/>
                <w:highlight w:val="none"/>
                <w:lang w:val="en-US" w:eastAsia="zh-CN"/>
              </w:rPr>
              <w:t>人，</w:t>
            </w:r>
            <w:r>
              <w:rPr>
                <w:rFonts w:hint="eastAsia"/>
                <w:sz w:val="20"/>
                <w:szCs w:val="20"/>
                <w:highlight w:val="none"/>
                <w:lang w:val="en-US" w:eastAsia="zh-CN"/>
              </w:rPr>
              <w:t>特种作业人员持证上岗</w:t>
            </w:r>
            <w:r>
              <w:rPr>
                <w:rFonts w:hint="eastAsia"/>
                <w:sz w:val="20"/>
                <w:szCs w:val="20"/>
                <w:highlight w:val="none"/>
                <w:lang w:val="zh-CN"/>
              </w:rPr>
              <w:t>；</w:t>
            </w:r>
            <w:r>
              <w:rPr>
                <w:rFonts w:hint="eastAsia" w:ascii="宋体" w:hAnsi="宋体" w:cs="Arial"/>
                <w:color w:val="auto"/>
                <w:spacing w:val="-6"/>
                <w:sz w:val="20"/>
                <w:szCs w:val="20"/>
                <w:highlight w:val="none"/>
                <w:lang w:val="en-US" w:eastAsia="zh-CN"/>
              </w:rPr>
              <w:t>管理人员、技术人员能</w:t>
            </w:r>
            <w:r>
              <w:rPr>
                <w:rFonts w:hint="eastAsia"/>
                <w:color w:val="auto"/>
                <w:sz w:val="20"/>
                <w:szCs w:val="20"/>
                <w:highlight w:val="none"/>
                <w:lang w:val="en-US" w:eastAsia="zh-CN"/>
              </w:rPr>
              <w:t>够有效实施管理体系，并运行和控制其过程。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0"/>
                <w:szCs w:val="20"/>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ind w:firstLine="400" w:firstLineChars="200"/>
              <w:rPr>
                <w:rFonts w:hint="default" w:ascii="宋体" w:hAnsi="宋体"/>
                <w:b/>
                <w:color w:val="000000" w:themeColor="text1"/>
                <w:sz w:val="20"/>
                <w:szCs w:val="20"/>
                <w:lang w:val="en-US"/>
              </w:rPr>
            </w:pPr>
            <w:r>
              <w:rPr>
                <w:rFonts w:hint="eastAsia" w:ascii="Times New Roman" w:hAnsi="Times New Roman" w:cs="Times New Roman"/>
                <w:sz w:val="20"/>
                <w:szCs w:val="20"/>
                <w:lang w:val="zh-CN" w:eastAsia="zh-CN"/>
              </w:rPr>
              <w:t>主要设备有：</w:t>
            </w:r>
            <w:r>
              <w:rPr>
                <w:rFonts w:hint="eastAsia" w:ascii="Times New Roman" w:hAnsi="Times New Roman" w:cs="Times New Roman"/>
                <w:sz w:val="20"/>
                <w:szCs w:val="20"/>
                <w:lang w:val="en-US" w:eastAsia="zh-CN"/>
              </w:rPr>
              <w:t>钢丝绳电动葫芦、电动单梁起重机、锅炉、不锈钢反应釜等；</w:t>
            </w:r>
            <w:r>
              <w:rPr>
                <w:rFonts w:hint="eastAsia" w:cs="Times New Roman"/>
                <w:sz w:val="20"/>
                <w:szCs w:val="20"/>
                <w:lang w:val="en-US" w:eastAsia="zh-CN"/>
              </w:rPr>
              <w:t>设备定期维保，运转正常，保留相关记录。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0"/>
                <w:szCs w:val="20"/>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ind w:firstLine="400" w:firstLineChars="200"/>
              <w:rPr>
                <w:rFonts w:hint="eastAsia"/>
                <w:sz w:val="20"/>
                <w:szCs w:val="20"/>
                <w:lang w:val="en-US" w:eastAsia="zh-CN"/>
              </w:rPr>
            </w:pPr>
            <w:r>
              <w:rPr>
                <w:rFonts w:hint="eastAsia"/>
                <w:sz w:val="20"/>
                <w:szCs w:val="20"/>
                <w:lang w:val="en-US" w:eastAsia="zh-CN"/>
              </w:rPr>
              <w:t>车间开阔，挑高12米，占地面积2700余平方米，通风良好，自然采光，温湿度满足生产需要；</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办公桌符合人机工程要求，干净整洁，照明、通风良好；配置有空调，温度适宜；有少量绿植；</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查见配置有灭火器，状态良好；</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节约用水用电、纸张双面使用、无乱拉乱接电线、无超额电器使用；</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生活废水经市政管网排放；</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办公环境安静，无明显噪声和废气；</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0"/>
                <w:szCs w:val="20"/>
              </w:rPr>
            </w:pPr>
            <w:r>
              <w:rPr>
                <w:rFonts w:hint="eastAsia"/>
                <w:color w:val="auto"/>
                <w:sz w:val="20"/>
                <w:szCs w:val="20"/>
                <w:highlight w:val="none"/>
                <w:lang w:val="en-US" w:eastAsia="zh-CN"/>
              </w:rPr>
              <w:t>办公垃圾由环卫部门收集处理。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0"/>
                <w:szCs w:val="20"/>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ind w:firstLine="400" w:firstLineChars="200"/>
              <w:rPr>
                <w:rFonts w:hint="eastAsia" w:ascii="宋体" w:hAnsi="宋体" w:eastAsia="宋体"/>
                <w:b/>
                <w:color w:val="000000" w:themeColor="text1"/>
                <w:sz w:val="20"/>
                <w:szCs w:val="20"/>
                <w:lang w:val="en-US" w:eastAsia="zh-CN"/>
              </w:rPr>
            </w:pPr>
            <w:r>
              <w:rPr>
                <w:rFonts w:hint="eastAsia" w:ascii="Times New Roman" w:hAnsi="Times New Roman" w:cs="Times New Roman"/>
                <w:sz w:val="20"/>
                <w:szCs w:val="20"/>
                <w:lang w:val="en-US" w:eastAsia="zh-CN"/>
              </w:rPr>
              <w:t>主要检测设备有：电子台秤、天平秤等；保持有效的校准证书，校准结论合格。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0"/>
                <w:szCs w:val="20"/>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0"/>
                <w:szCs w:val="20"/>
                <w:highlight w:val="none"/>
                <w:lang w:val="en-US" w:eastAsia="zh-CN"/>
              </w:rPr>
            </w:pPr>
            <w:r>
              <w:rPr>
                <w:rFonts w:hint="default"/>
                <w:color w:val="auto"/>
                <w:sz w:val="20"/>
                <w:szCs w:val="20"/>
                <w:highlight w:val="none"/>
                <w:lang w:val="en-US" w:eastAsia="zh-CN"/>
              </w:rPr>
              <w:t>公司各部门按照职责从内外部各种渠道获得与其职责相关所需的知识，包括操作规程、管理技巧与经验、失败和事故的案例分析、科研成果、商标等；把知识形成各种规章制度用于指导公司的日常工作和管理，包括体系文件、支持性文件、各种记录表单。</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0"/>
                <w:szCs w:val="20"/>
                <w:highlight w:val="none"/>
                <w:lang w:val="en-US" w:eastAsia="zh-CN"/>
              </w:rPr>
            </w:pPr>
            <w:r>
              <w:rPr>
                <w:rFonts w:hint="default"/>
                <w:color w:val="auto"/>
                <w:sz w:val="20"/>
                <w:szCs w:val="20"/>
                <w:highlight w:val="none"/>
                <w:lang w:val="en-US" w:eastAsia="zh-CN"/>
              </w:rPr>
              <w:t>从内部来源获取的有：多年的工作经验、教训、内部的知识产权等；</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0"/>
                <w:szCs w:val="20"/>
                <w:highlight w:val="none"/>
                <w:lang w:val="en-US" w:eastAsia="zh-CN"/>
              </w:rPr>
            </w:pPr>
            <w:r>
              <w:rPr>
                <w:rFonts w:hint="default"/>
                <w:color w:val="auto"/>
                <w:sz w:val="20"/>
                <w:szCs w:val="20"/>
                <w:highlight w:val="none"/>
                <w:lang w:val="en-US" w:eastAsia="zh-CN"/>
              </w:rPr>
              <w:t>外部来源获取有：标杆对比、行业会议、客户技术要求、咨询老师传授的体系知识及所实施的内审员的培训；顾客方提供的资料等。</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保持有实用新型专利8个；</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0"/>
                <w:szCs w:val="20"/>
              </w:rPr>
            </w:pPr>
            <w:r>
              <w:rPr>
                <w:rFonts w:hint="default"/>
                <w:color w:val="auto"/>
                <w:sz w:val="20"/>
                <w:szCs w:val="20"/>
                <w:highlight w:val="none"/>
                <w:lang w:val="en-US" w:eastAsia="zh-CN"/>
              </w:rPr>
              <w:t>在应对变化的需求和趋势时，相关部门考虑现有的知识，确定如何获取更多的必要的额外知识，并根据变化的情况及时更新。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 w:val="20"/>
                <w:szCs w:val="20"/>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360" w:lineRule="auto"/>
              <w:ind w:firstLine="400" w:firstLineChars="200"/>
              <w:rPr>
                <w:rFonts w:hint="eastAsia" w:ascii="宋体" w:hAnsi="宋体" w:eastAsia="宋体"/>
                <w:b/>
                <w:color w:val="000000" w:themeColor="text1"/>
                <w:sz w:val="20"/>
                <w:szCs w:val="20"/>
                <w:lang w:val="en-US" w:eastAsia="zh-CN"/>
              </w:rPr>
            </w:pPr>
            <w:r>
              <w:rPr>
                <w:rFonts w:hint="eastAsia" w:ascii="Times New Roman" w:hAnsi="Times New Roman" w:cs="Times New Roman"/>
                <w:sz w:val="20"/>
                <w:szCs w:val="20"/>
                <w:lang w:val="en-US" w:eastAsia="zh-CN"/>
              </w:rPr>
              <w:t>主要环保、安全设备设施有：集气罩、抽排装置、垃圾桶、灭火器等。</w:t>
            </w:r>
            <w:r>
              <w:rPr>
                <w:rFonts w:hint="eastAsia" w:ascii="宋体" w:hAnsi="宋体"/>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20" w:type="dxa"/>
            <w:vMerge w:val="continue"/>
            <w:textDirection w:val="tbRlV"/>
            <w:vAlign w:val="center"/>
          </w:tcPr>
          <w:p>
            <w:pPr>
              <w:spacing w:line="360" w:lineRule="auto"/>
              <w:ind w:left="113" w:right="113"/>
              <w:jc w:val="center"/>
              <w:rPr>
                <w:b/>
                <w:color w:val="000000" w:themeColor="text1"/>
                <w:sz w:val="20"/>
                <w:szCs w:val="20"/>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360" w:lineRule="auto"/>
              <w:ind w:firstLine="400" w:firstLineChars="200"/>
              <w:rPr>
                <w:rFonts w:hint="eastAsia" w:ascii="宋体" w:hAnsi="宋体" w:eastAsia="宋体"/>
                <w:b/>
                <w:color w:val="000000" w:themeColor="text1"/>
                <w:sz w:val="20"/>
                <w:szCs w:val="20"/>
                <w:lang w:val="en-US" w:eastAsia="zh-CN"/>
              </w:rPr>
            </w:pPr>
            <w:r>
              <w:rPr>
                <w:rFonts w:hint="eastAsia" w:ascii="Times New Roman" w:hAnsi="Times New Roman" w:cs="Times New Roman"/>
                <w:sz w:val="20"/>
                <w:szCs w:val="20"/>
                <w:lang w:val="en-US" w:eastAsia="zh-CN"/>
              </w:rPr>
              <w:t>主要环保、安全设备设施有：集气罩、抽排装置、垃圾桶、灭火器等。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20" w:type="dxa"/>
            <w:vMerge w:val="restart"/>
            <w:textDirection w:val="tbRlV"/>
            <w:vAlign w:val="center"/>
          </w:tcPr>
          <w:p>
            <w:pPr>
              <w:spacing w:line="360" w:lineRule="auto"/>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firstLine="400" w:firstLineChars="200"/>
              <w:rPr>
                <w:rFonts w:hint="eastAsia" w:eastAsia="宋体"/>
                <w:b/>
                <w:color w:val="000000" w:themeColor="text1"/>
                <w:sz w:val="20"/>
                <w:szCs w:val="20"/>
                <w:lang w:val="en-US" w:eastAsia="zh-CN"/>
              </w:rPr>
            </w:pPr>
            <w:r>
              <w:rPr>
                <w:rFonts w:hint="eastAsia" w:ascii="Times New Roman" w:hAnsi="Times New Roman" w:cs="Times New Roman" w:eastAsiaTheme="minorEastAsia"/>
                <w:b w:val="0"/>
                <w:kern w:val="2"/>
                <w:sz w:val="20"/>
                <w:szCs w:val="20"/>
                <w:lang w:val="en-US" w:eastAsia="zh-CN" w:bidi="ar-SA"/>
              </w:rPr>
              <w:t>方针符合组织的宗旨，一体化管理方针形成文件传达到全体员工，确保得到有效控制，使全体员工正确理解并坚决执行，且应定期对其适宜性进行评审。</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内部沟通的情况：内部沟通方式：借助于会议、电话、口头交流等方式使全体员工达到沟通和理解</w:t>
            </w:r>
          </w:p>
          <w:p>
            <w:pPr>
              <w:spacing w:line="360" w:lineRule="auto"/>
              <w:ind w:left="1" w:firstLine="400" w:firstLineChars="200"/>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 xml:space="preserve">            内部沟通的效果：有效</w:t>
            </w:r>
          </w:p>
          <w:p>
            <w:pPr>
              <w:spacing w:line="360" w:lineRule="auto"/>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组织对外联络，关注顾客的感受情况（QMS）：顾客满意度评价、合同等</w:t>
            </w:r>
          </w:p>
          <w:p>
            <w:pPr>
              <w:spacing w:line="360" w:lineRule="auto"/>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外部信息的接收、成文并答复的情况（E、S填写）：按建立的信息交流、协商和沟通控制程序及公司合规义务的要求，就三标一体化管理体系的相关信息进行外部信息交流，与进入工作场所的承包方和其他访问者进行沟通；接收、记录和回应来自外部相关方的相关沟通。</w:t>
            </w:r>
          </w:p>
          <w:p>
            <w:pPr>
              <w:spacing w:line="360" w:lineRule="auto"/>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重要环境因素信息对外交流情况（EMS填写）：相关方告知书、张贴警示标记</w:t>
            </w:r>
          </w:p>
          <w:p>
            <w:pPr>
              <w:spacing w:line="360" w:lineRule="auto"/>
              <w:rPr>
                <w:rFonts w:hint="eastAsia" w:ascii="Times New Roman" w:hAnsi="Times New Roman" w:cs="Times New Roman" w:eastAsiaTheme="minorEastAsia"/>
                <w:b w:val="0"/>
                <w:kern w:val="2"/>
                <w:sz w:val="20"/>
                <w:szCs w:val="20"/>
                <w:lang w:val="en-US" w:eastAsia="zh-CN" w:bidi="ar-SA"/>
              </w:rPr>
            </w:pPr>
            <w:r>
              <w:rPr>
                <w:rFonts w:hint="eastAsia" w:ascii="Times New Roman" w:hAnsi="Times New Roman" w:cs="Times New Roman" w:eastAsiaTheme="minorEastAsia"/>
                <w:b w:val="0"/>
                <w:kern w:val="2"/>
                <w:sz w:val="20"/>
                <w:szCs w:val="20"/>
                <w:lang w:val="en-US" w:eastAsia="zh-CN" w:bidi="ar-SA"/>
              </w:rPr>
              <w:t>OHSMS事务代表协商和交流的情况（OHSMS填写）：确定职业健康安全事务代表是洪荣军，参与公司的职业健康安全事务。相关人员能够适当参与并协商办理公司经营管理及安全事务等工作。</w:t>
            </w:r>
          </w:p>
          <w:p>
            <w:pPr>
              <w:spacing w:line="360" w:lineRule="auto"/>
              <w:rPr>
                <w:rFonts w:ascii="楷体_GB2312" w:eastAsia="楷体_GB2312"/>
                <w:b/>
                <w:color w:val="000000" w:themeColor="text1"/>
                <w:sz w:val="20"/>
                <w:szCs w:val="20"/>
              </w:rPr>
            </w:pPr>
            <w:r>
              <w:rPr>
                <w:rFonts w:hint="eastAsia" w:ascii="Times New Roman" w:hAnsi="Times New Roman" w:cs="Times New Roman" w:eastAsiaTheme="minorEastAsia"/>
                <w:b w:val="0"/>
                <w:kern w:val="2"/>
                <w:sz w:val="20"/>
                <w:szCs w:val="20"/>
                <w:lang w:val="en-US" w:eastAsia="zh-CN" w:bidi="ar-SA"/>
              </w:rPr>
              <w:t>与相关方协商的情况（OHSMS填写）：与相关方就有关职业健康安全事务进行协商，保留相关方告知书。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策划了产品生产工艺流程：</w:t>
            </w:r>
          </w:p>
          <w:p>
            <w:pPr>
              <w:spacing w:line="360" w:lineRule="auto"/>
              <w:ind w:firstLine="400" w:firstLineChars="200"/>
              <w:rPr>
                <w:rFonts w:hint="default" w:ascii="宋体" w:hAnsi="宋体" w:cs="Arial"/>
                <w:color w:val="0000FF"/>
                <w:spacing w:val="-6"/>
                <w:sz w:val="20"/>
                <w:szCs w:val="20"/>
                <w:lang w:val="en-US" w:eastAsia="zh-CN"/>
              </w:rPr>
            </w:pPr>
            <w:r>
              <w:rPr>
                <w:rFonts w:hint="eastAsia"/>
                <w:sz w:val="20"/>
                <w:szCs w:val="20"/>
                <w:lang w:val="en-US" w:eastAsia="zh-CN"/>
              </w:rPr>
              <w:t>准备－投料－反应－罐装</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通过</w:t>
            </w:r>
            <w:r>
              <w:rPr>
                <w:rFonts w:hint="eastAsia" w:cs="Times New Roman"/>
                <w:sz w:val="20"/>
                <w:szCs w:val="20"/>
                <w:highlight w:val="none"/>
                <w:lang w:val="en-US" w:eastAsia="zh-CN"/>
              </w:rPr>
              <w:t>原</w:t>
            </w:r>
            <w:r>
              <w:rPr>
                <w:rFonts w:hint="eastAsia" w:ascii="Times New Roman" w:hAnsi="Times New Roman" w:cs="Times New Roman"/>
                <w:sz w:val="20"/>
                <w:szCs w:val="20"/>
                <w:highlight w:val="none"/>
                <w:lang w:val="en-US" w:eastAsia="zh-CN"/>
              </w:rPr>
              <w:t>材料检验、</w:t>
            </w:r>
            <w:r>
              <w:rPr>
                <w:rFonts w:hint="eastAsia" w:cs="Times New Roman"/>
                <w:sz w:val="20"/>
                <w:szCs w:val="20"/>
                <w:highlight w:val="none"/>
                <w:lang w:val="en-US" w:eastAsia="zh-CN"/>
              </w:rPr>
              <w:t>半成品</w:t>
            </w:r>
            <w:r>
              <w:rPr>
                <w:rFonts w:hint="eastAsia" w:ascii="Times New Roman" w:hAnsi="Times New Roman" w:cs="Times New Roman"/>
                <w:sz w:val="20"/>
                <w:szCs w:val="20"/>
                <w:highlight w:val="none"/>
                <w:lang w:val="en-US" w:eastAsia="zh-CN"/>
              </w:rPr>
              <w:t>检验、成品检验等过程对产品质量等进行监控。</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公司按照制定的程序、规程、管理制度等文件对</w:t>
            </w:r>
            <w:r>
              <w:rPr>
                <w:rFonts w:hint="eastAsia" w:cs="Times New Roman"/>
                <w:sz w:val="20"/>
                <w:szCs w:val="20"/>
                <w:highlight w:val="none"/>
                <w:lang w:val="en-US" w:eastAsia="zh-CN"/>
              </w:rPr>
              <w:t>生产制备过程</w:t>
            </w:r>
            <w:r>
              <w:rPr>
                <w:rFonts w:hint="eastAsia" w:ascii="Times New Roman" w:hAnsi="Times New Roman" w:cs="Times New Roman"/>
                <w:sz w:val="20"/>
                <w:szCs w:val="20"/>
                <w:highlight w:val="none"/>
                <w:lang w:val="en-US" w:eastAsia="zh-CN"/>
              </w:rPr>
              <w:t>、采购过程、销售过程、检验与交付过程、绩效分析、评价与改进等过程实施了过程控制。</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b/>
                <w:color w:val="000000" w:themeColor="text1"/>
                <w:sz w:val="20"/>
                <w:szCs w:val="20"/>
              </w:rPr>
            </w:pPr>
            <w:r>
              <w:rPr>
                <w:rFonts w:hint="eastAsia" w:ascii="Times New Roman" w:hAnsi="Times New Roman" w:cs="Times New Roman"/>
                <w:sz w:val="20"/>
                <w:szCs w:val="20"/>
                <w:highlight w:val="none"/>
                <w:lang w:val="en-US" w:eastAsia="zh-CN"/>
              </w:rPr>
              <w:t>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rPr>
                <w:rFonts w:hint="eastAsia"/>
                <w:sz w:val="20"/>
                <w:szCs w:val="20"/>
                <w:lang w:val="en-US" w:eastAsia="zh-CN"/>
              </w:rPr>
            </w:pPr>
            <w:r>
              <w:rPr>
                <w:rFonts w:hint="eastAsia"/>
                <w:sz w:val="20"/>
                <w:szCs w:val="20"/>
                <w:lang w:val="en-US" w:eastAsia="zh-CN"/>
              </w:rPr>
              <w:t>混凝土外加剂GB 8076-2008</w:t>
            </w:r>
          </w:p>
          <w:p>
            <w:pPr>
              <w:spacing w:line="360" w:lineRule="auto"/>
              <w:rPr>
                <w:b/>
                <w:color w:val="000000" w:themeColor="text1"/>
                <w:sz w:val="20"/>
                <w:szCs w:val="20"/>
              </w:rPr>
            </w:pPr>
            <w:r>
              <w:rPr>
                <w:rFonts w:hint="eastAsia"/>
                <w:sz w:val="20"/>
                <w:szCs w:val="20"/>
                <w:lang w:val="en-US" w:eastAsia="zh-CN"/>
              </w:rPr>
              <w:t>聚羧酸系高性能减水剂JG/T223-2017</w:t>
            </w:r>
          </w:p>
          <w:p>
            <w:pPr>
              <w:spacing w:line="360" w:lineRule="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00" w:firstLineChars="200"/>
              <w:textAlignment w:val="auto"/>
              <w:rPr>
                <w:rFonts w:hint="default"/>
                <w:color w:val="auto"/>
                <w:sz w:val="20"/>
                <w:szCs w:val="20"/>
                <w:lang w:val="en-US" w:eastAsia="zh-CN"/>
              </w:rPr>
            </w:pPr>
            <w:r>
              <w:rPr>
                <w:rFonts w:hint="eastAsia"/>
                <w:color w:val="auto"/>
                <w:sz w:val="20"/>
                <w:szCs w:val="20"/>
                <w:lang w:val="en-US" w:eastAsia="zh-CN"/>
              </w:rPr>
              <w:t>产品质量监督抽查/复查通知书，赣州市市场监督管理局，2021.3.31，抽查公司产品减水剂，介绍说，今年抽检合格产品不再提供检测报告，只对不符合产品进行通报；本公司产品检测合格，未被通报；</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color w:val="auto"/>
                <w:sz w:val="20"/>
                <w:szCs w:val="20"/>
                <w:lang w:val="en-US" w:eastAsia="zh-CN"/>
              </w:rPr>
            </w:pPr>
            <w:r>
              <w:rPr>
                <w:rFonts w:hint="eastAsia" w:asciiTheme="minorEastAsia" w:hAnsiTheme="minorEastAsia" w:eastAsiaTheme="minorEastAsia" w:cstheme="minorEastAsia"/>
                <w:bCs w:val="0"/>
                <w:color w:val="auto"/>
                <w:spacing w:val="0"/>
                <w:kern w:val="2"/>
                <w:sz w:val="20"/>
                <w:szCs w:val="20"/>
                <w:highlight w:val="none"/>
                <w:lang w:val="en-US" w:eastAsia="zh-CN" w:bidi="ar-SA"/>
              </w:rPr>
              <w:t>赣州市产品质量监督检验所出具的“检验检测报告”，2020.6.3，检测项目减水率、含固量、密度、pH值，结论合格。检测标准：</w:t>
            </w:r>
            <w:r>
              <w:rPr>
                <w:rFonts w:hint="eastAsia"/>
                <w:color w:val="auto"/>
                <w:sz w:val="20"/>
                <w:szCs w:val="20"/>
                <w:lang w:val="en-US" w:eastAsia="zh-CN"/>
              </w:rPr>
              <w:t>混凝土外加剂GB 8076-2008；</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b/>
                <w:color w:val="000000" w:themeColor="text1"/>
                <w:sz w:val="20"/>
                <w:szCs w:val="20"/>
              </w:rPr>
            </w:pPr>
            <w:r>
              <w:rPr>
                <w:rFonts w:hint="eastAsia"/>
                <w:color w:val="auto"/>
                <w:sz w:val="20"/>
                <w:szCs w:val="20"/>
                <w:lang w:val="en-US" w:eastAsia="zh-CN"/>
              </w:rPr>
              <w:t>江西省建材产品质量监督检验站出具的“检验报告”，2019.9.11，检测项目依据混凝土外加剂GB 8076-2008标准的要求；结论：符合标准技术要求。</w:t>
            </w:r>
          </w:p>
          <w:p>
            <w:pPr>
              <w:spacing w:line="360" w:lineRule="auto"/>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jc w:val="left"/>
              <w:textAlignment w:val="auto"/>
              <w:rPr>
                <w:rFonts w:hint="eastAsia" w:asciiTheme="minorEastAsia" w:hAnsiTheme="minorEastAsia" w:eastAsiaTheme="minorEastAsia" w:cstheme="minorEastAsia"/>
                <w:bCs w:val="0"/>
                <w:color w:val="auto"/>
                <w:spacing w:val="0"/>
                <w:kern w:val="2"/>
                <w:sz w:val="20"/>
                <w:szCs w:val="20"/>
                <w:highlight w:val="none"/>
                <w:lang w:val="en-US" w:eastAsia="zh-CN" w:bidi="ar-SA"/>
              </w:rPr>
            </w:pPr>
            <w:r>
              <w:rPr>
                <w:rFonts w:hint="eastAsia" w:asciiTheme="minorEastAsia" w:hAnsiTheme="minorEastAsia" w:eastAsiaTheme="minorEastAsia" w:cstheme="minorEastAsia"/>
                <w:bCs w:val="0"/>
                <w:color w:val="auto"/>
                <w:spacing w:val="0"/>
                <w:kern w:val="2"/>
                <w:sz w:val="20"/>
                <w:szCs w:val="20"/>
                <w:highlight w:val="none"/>
                <w:lang w:val="en-US" w:eastAsia="zh-CN" w:bidi="ar-SA"/>
              </w:rPr>
              <w:t>编制了《不符合、纠正和预防措施控制程序》，有效文件，无变化。</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jc w:val="left"/>
              <w:textAlignment w:val="auto"/>
              <w:rPr>
                <w:b/>
                <w:color w:val="000000" w:themeColor="text1"/>
                <w:sz w:val="20"/>
                <w:szCs w:val="20"/>
              </w:rPr>
            </w:pPr>
            <w:r>
              <w:rPr>
                <w:rFonts w:hint="eastAsia" w:asciiTheme="minorEastAsia" w:hAnsiTheme="minorEastAsia" w:eastAsiaTheme="minorEastAsia" w:cstheme="minorEastAsia"/>
                <w:bCs w:val="0"/>
                <w:color w:val="auto"/>
                <w:spacing w:val="0"/>
                <w:kern w:val="2"/>
                <w:sz w:val="20"/>
                <w:szCs w:val="20"/>
                <w:highlight w:val="none"/>
                <w:lang w:val="en-US" w:eastAsia="zh-CN" w:bidi="ar-SA"/>
              </w:rPr>
              <w:t>经查，公司体系运行以来没发生对不合格品进行让步放行的情况，介绍说如果发现不合格产品，进行再次聚合；采购进货检验中发现的不合格品，退回供应商，目前，公司的供应商比较稳定，产品质量达到公司的要求，未出现采购不合格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b/>
                <w:color w:val="000000" w:themeColor="text1"/>
                <w:sz w:val="20"/>
                <w:szCs w:val="20"/>
              </w:rPr>
            </w:pPr>
            <w:r>
              <w:rPr>
                <w:rFonts w:hint="eastAsia"/>
                <w:b/>
                <w:color w:val="000000" w:themeColor="text1"/>
                <w:sz w:val="20"/>
                <w:szCs w:val="20"/>
              </w:rPr>
              <w:t>7. EMS组织对重要环境因素实施控制的结果</w:t>
            </w:r>
          </w:p>
          <w:p>
            <w:pPr>
              <w:spacing w:line="360" w:lineRule="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ind w:firstLine="400" w:firstLineChars="200"/>
              <w:rPr>
                <w:rFonts w:hint="eastAsia"/>
                <w:sz w:val="20"/>
                <w:szCs w:val="20"/>
                <w:lang w:val="en-US" w:eastAsia="zh-CN"/>
              </w:rPr>
            </w:pPr>
            <w:r>
              <w:rPr>
                <w:rFonts w:hint="eastAsia"/>
                <w:sz w:val="20"/>
                <w:szCs w:val="20"/>
                <w:lang w:val="en-US" w:eastAsia="zh-CN"/>
              </w:rPr>
              <w:t>废水控制：聚羧酸减水剂生产线直接用自来水并定量配比，不产生生产废水；</w:t>
            </w:r>
          </w:p>
          <w:p>
            <w:pPr>
              <w:spacing w:line="360" w:lineRule="auto"/>
              <w:ind w:firstLine="400" w:firstLineChars="200"/>
              <w:rPr>
                <w:rFonts w:hint="eastAsia"/>
                <w:sz w:val="20"/>
                <w:szCs w:val="20"/>
                <w:lang w:val="en-US" w:eastAsia="zh-CN"/>
              </w:rPr>
            </w:pPr>
            <w:r>
              <w:rPr>
                <w:rFonts w:hint="eastAsia"/>
                <w:sz w:val="20"/>
                <w:szCs w:val="20"/>
                <w:lang w:val="en-US" w:eastAsia="zh-CN"/>
              </w:rPr>
              <w:t>噪声控制：机械设备生产噪声，主要为反应釜搅拌及开盖废气排气筒风机运转等产生的噪声主要通过设备隔振、车间隔声消声、风机的治理降低噪声强度；</w:t>
            </w:r>
          </w:p>
          <w:p>
            <w:pPr>
              <w:spacing w:line="360" w:lineRule="auto"/>
              <w:ind w:firstLine="400" w:firstLineChars="200"/>
              <w:rPr>
                <w:rFonts w:hint="default"/>
                <w:sz w:val="20"/>
                <w:szCs w:val="20"/>
                <w:lang w:val="en-US" w:eastAsia="zh-CN"/>
              </w:rPr>
            </w:pPr>
            <w:r>
              <w:rPr>
                <w:rFonts w:hint="eastAsia"/>
                <w:sz w:val="20"/>
                <w:szCs w:val="20"/>
                <w:lang w:val="en-US" w:eastAsia="zh-CN"/>
              </w:rPr>
              <w:t>废气/粉尘：反应釜混合过程是密闭的，仅反应釜开盖时有少量废气，间断性外排。废气主要含有机废气非甲烷总烃、水蒸气，通过在反应釜上方设集气罩并通过15米高排气筒排放。</w:t>
            </w:r>
          </w:p>
          <w:p>
            <w:pPr>
              <w:spacing w:line="360" w:lineRule="auto"/>
              <w:ind w:firstLine="400" w:firstLineChars="200"/>
              <w:rPr>
                <w:rFonts w:hint="default"/>
                <w:sz w:val="20"/>
                <w:szCs w:val="20"/>
                <w:lang w:val="en-US" w:eastAsia="zh-CN"/>
              </w:rPr>
            </w:pPr>
            <w:r>
              <w:rPr>
                <w:rFonts w:hint="eastAsia"/>
                <w:sz w:val="20"/>
                <w:szCs w:val="20"/>
                <w:lang w:val="en-US" w:eastAsia="zh-CN"/>
              </w:rPr>
              <w:t>固废控制：一般外包装物和普通固废由废品公司回收；原料包装桶暂存在危废存储间，由供应商回收；查见与供应商签订的包装桶回收协议，与福州旭隆化工有限公司签订，2020.5.1，常年合同；</w:t>
            </w:r>
          </w:p>
          <w:p>
            <w:pPr>
              <w:spacing w:line="360" w:lineRule="auto"/>
              <w:ind w:firstLine="400" w:firstLineChars="200"/>
              <w:rPr>
                <w:rFonts w:hint="default"/>
                <w:sz w:val="20"/>
                <w:szCs w:val="20"/>
                <w:lang w:val="en-US" w:eastAsia="zh-CN"/>
              </w:rPr>
            </w:pPr>
            <w:r>
              <w:rPr>
                <w:rFonts w:hint="eastAsia"/>
                <w:sz w:val="20"/>
                <w:szCs w:val="20"/>
                <w:lang w:val="en-US" w:eastAsia="zh-CN"/>
              </w:rPr>
              <w:t>电源通过开关盒接到设备上，有保护开关，电线绝缘良好，设备接零完好；</w:t>
            </w:r>
          </w:p>
          <w:p>
            <w:pPr>
              <w:spacing w:line="360" w:lineRule="auto"/>
              <w:ind w:firstLine="400" w:firstLineChars="200"/>
              <w:rPr>
                <w:rFonts w:hint="eastAsia"/>
                <w:sz w:val="20"/>
                <w:szCs w:val="20"/>
                <w:lang w:val="en-US" w:eastAsia="zh-CN"/>
              </w:rPr>
            </w:pPr>
            <w:r>
              <w:rPr>
                <w:rFonts w:hint="eastAsia"/>
                <w:sz w:val="20"/>
                <w:szCs w:val="20"/>
                <w:lang w:val="en-US" w:eastAsia="zh-CN"/>
              </w:rPr>
              <w:t>能源管理：公司规定人走灯灭，人走关水等节能节水措施，并互相监督；</w:t>
            </w:r>
          </w:p>
          <w:p>
            <w:pPr>
              <w:spacing w:line="360" w:lineRule="auto"/>
              <w:ind w:firstLine="400" w:firstLineChars="200"/>
              <w:rPr>
                <w:b/>
                <w:color w:val="000000" w:themeColor="text1"/>
                <w:sz w:val="20"/>
                <w:szCs w:val="20"/>
              </w:rPr>
            </w:pPr>
            <w:r>
              <w:rPr>
                <w:rFonts w:hint="eastAsia"/>
                <w:sz w:val="20"/>
                <w:szCs w:val="20"/>
                <w:lang w:val="en-US" w:eastAsia="zh-CN"/>
              </w:rPr>
              <w:t>火灾事故预防：公司配备有灭火器等消防设施，有应急预案，相关人员经过培训。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rFonts w:hint="eastAsia"/>
                <w:sz w:val="20"/>
                <w:szCs w:val="20"/>
              </w:rPr>
            </w:pPr>
            <w:r>
              <w:rPr>
                <w:rFonts w:hint="eastAsia"/>
                <w:sz w:val="20"/>
                <w:szCs w:val="20"/>
              </w:rPr>
              <w:t>8. OHSMS组织对不可接受风险实施控制的结果</w:t>
            </w:r>
          </w:p>
          <w:p>
            <w:pPr>
              <w:spacing w:line="360" w:lineRule="auto"/>
              <w:ind w:firstLine="400" w:firstLineChars="200"/>
              <w:rPr>
                <w:rFonts w:hint="eastAsia" w:ascii="Times New Roman" w:hAnsi="Times New Roman" w:eastAsia="宋体" w:cs="Times New Roman"/>
                <w:b w:val="0"/>
                <w:kern w:val="2"/>
                <w:sz w:val="20"/>
                <w:szCs w:val="20"/>
                <w:lang w:val="en-US" w:eastAsia="zh-CN" w:bidi="ar-SA"/>
              </w:rPr>
            </w:pPr>
            <w:r>
              <w:rPr>
                <w:rFonts w:hint="eastAsia" w:ascii="Times New Roman" w:hAnsi="Times New Roman" w:eastAsia="宋体" w:cs="Times New Roman"/>
                <w:b w:val="0"/>
                <w:kern w:val="2"/>
                <w:sz w:val="20"/>
                <w:szCs w:val="20"/>
                <w:lang w:val="en-US" w:eastAsia="zh-CN" w:bidi="ar-SA"/>
              </w:rPr>
              <w:t>原料分区存放，提供安全技术说明书、备有防酸作业服、防酸手套、呼吸器、安全帽、防酸鞋等；</w:t>
            </w:r>
          </w:p>
          <w:p>
            <w:pPr>
              <w:spacing w:line="360" w:lineRule="auto"/>
              <w:ind w:firstLine="400" w:firstLineChars="200"/>
              <w:rPr>
                <w:rFonts w:hint="eastAsia"/>
                <w:sz w:val="20"/>
                <w:szCs w:val="20"/>
                <w:lang w:val="en-US" w:eastAsia="zh-CN"/>
              </w:rPr>
            </w:pPr>
            <w:r>
              <w:rPr>
                <w:rFonts w:hint="eastAsia" w:ascii="Times New Roman" w:hAnsi="Times New Roman" w:eastAsia="宋体" w:cs="Times New Roman"/>
                <w:b w:val="0"/>
                <w:kern w:val="2"/>
                <w:sz w:val="20"/>
                <w:szCs w:val="20"/>
                <w:lang w:val="en-US" w:eastAsia="zh-CN" w:bidi="ar-SA"/>
              </w:rPr>
              <w:t>办公室内主要是电的使用，现场查看电路、电源正常，电路布线合理、电气插座完整，未见破损，无乱拉乱接电线、使用超额电气等现象；未见用电不当等安全隐患及不良影响现象。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保持有：触电应急预案、火灾应急预案、化学品泄漏应急预案；基本符合；</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0"/>
                <w:szCs w:val="20"/>
                <w:highlight w:val="none"/>
                <w:lang w:val="en-US" w:eastAsia="zh-CN"/>
              </w:rPr>
            </w:pPr>
            <w:r>
              <w:rPr>
                <w:rFonts w:hint="eastAsia"/>
                <w:color w:val="auto"/>
                <w:sz w:val="20"/>
                <w:szCs w:val="20"/>
                <w:highlight w:val="none"/>
                <w:lang w:val="en-US" w:eastAsia="zh-CN"/>
              </w:rPr>
              <w:t>保留“应急救援预案演练计划”，见对上述预案策划了演练；</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0"/>
                <w:szCs w:val="20"/>
                <w:highlight w:val="none"/>
                <w:lang w:val="en-US" w:eastAsia="zh-CN"/>
              </w:rPr>
            </w:pPr>
            <w:r>
              <w:rPr>
                <w:rFonts w:hint="eastAsia"/>
                <w:color w:val="auto"/>
                <w:sz w:val="20"/>
                <w:szCs w:val="20"/>
                <w:highlight w:val="none"/>
                <w:lang w:val="en-US" w:eastAsia="zh-CN"/>
              </w:rPr>
              <w:t>查见“环境安全运行检查记录”，对应急物资有准备和必要的检查；</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查见“应急预案演练记录”，显示2021.3.12，公司组织进行了火灾应急救援预案演练；明确了演练时间、地点、目的、演练总结等内容；</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总结：存在问题，个别人员认为是搞演练存在无所谓的思想，很不严肃。</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下步工作：学习贯彻《消防法》，认真抓好职工安全教育培训，开展技能练兵，提高业务素质。</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b/>
                <w:color w:val="000000" w:themeColor="text1"/>
                <w:spacing w:val="-4"/>
                <w:sz w:val="20"/>
                <w:szCs w:val="20"/>
              </w:rPr>
            </w:pPr>
            <w:r>
              <w:rPr>
                <w:rFonts w:hint="eastAsia"/>
                <w:color w:val="auto"/>
                <w:sz w:val="20"/>
                <w:szCs w:val="20"/>
                <w:highlight w:val="none"/>
                <w:lang w:val="en-US" w:eastAsia="zh-CN"/>
              </w:rPr>
              <w:t>另查见记录，2021年1月20日，公司组织进行了火灾应急演练、</w:t>
            </w:r>
            <w:r>
              <w:rPr>
                <w:rFonts w:hint="eastAsia"/>
                <w:sz w:val="20"/>
                <w:szCs w:val="20"/>
                <w:lang w:val="en-US" w:eastAsia="zh-CN"/>
              </w:rPr>
              <w:t>2021年5月22日</w:t>
            </w:r>
            <w:r>
              <w:rPr>
                <w:rFonts w:hint="eastAsia"/>
                <w:color w:val="auto"/>
                <w:sz w:val="20"/>
                <w:szCs w:val="20"/>
                <w:highlight w:val="none"/>
                <w:lang w:val="en-US" w:eastAsia="zh-CN"/>
              </w:rPr>
              <w:t>进行了化学品泄漏应急演练；同上。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ind w:firstLine="400" w:firstLineChars="200"/>
              <w:rPr>
                <w:rFonts w:hint="eastAsia"/>
                <w:sz w:val="20"/>
                <w:szCs w:val="20"/>
                <w:lang w:val="en-US" w:eastAsia="zh-CN"/>
              </w:rPr>
            </w:pPr>
            <w:r>
              <w:rPr>
                <w:rFonts w:hint="eastAsia"/>
                <w:sz w:val="20"/>
                <w:szCs w:val="20"/>
                <w:lang w:val="en-US" w:eastAsia="zh-CN"/>
              </w:rPr>
              <w:t>查见特种设备使用登记证和检测报告：</w:t>
            </w:r>
          </w:p>
          <w:p>
            <w:pPr>
              <w:spacing w:line="360" w:lineRule="auto"/>
              <w:ind w:firstLine="400" w:firstLineChars="200"/>
              <w:rPr>
                <w:rFonts w:hint="eastAsia"/>
                <w:sz w:val="20"/>
                <w:szCs w:val="20"/>
                <w:lang w:val="en-US" w:eastAsia="zh-CN"/>
              </w:rPr>
            </w:pPr>
            <w:r>
              <w:rPr>
                <w:rFonts w:hint="eastAsia"/>
                <w:sz w:val="20"/>
                <w:szCs w:val="20"/>
                <w:lang w:val="en-US" w:eastAsia="zh-CN"/>
              </w:rPr>
              <w:t>有机热载体液相炉（锅炉）——特种设备使用标志，下次检验时间2021.9.2，赣州市特种设备监督检验中心出具；介绍说，因为工艺进行了改进，直接利用反应热，不需要加热，锅炉已停用，尚未办理停用手续，交流。</w:t>
            </w:r>
          </w:p>
          <w:p>
            <w:pPr>
              <w:spacing w:line="360" w:lineRule="auto"/>
              <w:ind w:firstLine="400" w:firstLineChars="200"/>
              <w:rPr>
                <w:b/>
                <w:color w:val="000000" w:themeColor="text1"/>
                <w:sz w:val="20"/>
                <w:szCs w:val="20"/>
              </w:rPr>
            </w:pPr>
            <w:r>
              <w:rPr>
                <w:rFonts w:hint="eastAsia"/>
                <w:sz w:val="20"/>
                <w:szCs w:val="20"/>
                <w:lang w:val="en-US" w:eastAsia="zh-CN"/>
              </w:rPr>
              <w:t>桥式起重机定期检验报告——检验结论：复检合格，下次定检日期：2021年12月；设备代码41xxx292，赣州市特种设备监督检验中心。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ind w:firstLine="400" w:firstLineChars="200"/>
              <w:rPr>
                <w:rFonts w:hint="default"/>
                <w:sz w:val="20"/>
                <w:szCs w:val="20"/>
                <w:lang w:val="en-US" w:eastAsia="zh-CN"/>
              </w:rPr>
            </w:pPr>
            <w:r>
              <w:rPr>
                <w:rFonts w:hint="eastAsia"/>
                <w:sz w:val="20"/>
                <w:szCs w:val="20"/>
                <w:lang w:val="en-US" w:eastAsia="zh-CN"/>
              </w:rPr>
              <w:t>双氧水原厂塑料桶装、丙烯酸原厂塑料桶装，分区存放，提供安全技术说明书、备有防酸作业服、防酸手套、呼吸器、安全帽、防酸鞋等；</w:t>
            </w:r>
          </w:p>
          <w:p>
            <w:pPr>
              <w:spacing w:line="360" w:lineRule="auto"/>
              <w:ind w:firstLine="400" w:firstLineChars="200"/>
              <w:rPr>
                <w:rFonts w:hint="eastAsia" w:eastAsia="宋体"/>
                <w:b/>
                <w:color w:val="000000" w:themeColor="text1"/>
                <w:sz w:val="20"/>
                <w:szCs w:val="20"/>
                <w:lang w:val="en-US" w:eastAsia="zh-CN"/>
              </w:rPr>
            </w:pPr>
            <w:r>
              <w:rPr>
                <w:rFonts w:hint="eastAsia"/>
                <w:sz w:val="20"/>
                <w:szCs w:val="20"/>
                <w:lang w:val="en-US" w:eastAsia="zh-CN"/>
              </w:rPr>
              <w:t>丙烯酸存储库房门口张贴有安全技术说明书，描述了存储物质的物理特性、毒性、防护要求、应急处置措施等。</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restart"/>
            <w:textDirection w:val="tbRlV"/>
            <w:vAlign w:val="center"/>
          </w:tcPr>
          <w:p>
            <w:pPr>
              <w:spacing w:line="360" w:lineRule="auto"/>
              <w:ind w:left="113" w:right="113"/>
              <w:jc w:val="center"/>
              <w:rPr>
                <w:b/>
                <w:color w:val="000000" w:themeColor="text1"/>
                <w:sz w:val="20"/>
                <w:szCs w:val="20"/>
              </w:rPr>
            </w:pPr>
            <w:r>
              <w:rPr>
                <w:rFonts w:hint="eastAsia"/>
                <w:b/>
                <w:color w:val="000000" w:themeColor="text1"/>
                <w:sz w:val="20"/>
                <w:szCs w:val="20"/>
              </w:rPr>
              <w:t>(四)监视测量方面</w:t>
            </w:r>
          </w:p>
        </w:tc>
        <w:tc>
          <w:tcPr>
            <w:tcW w:w="9198" w:type="dxa"/>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0"/>
                <w:szCs w:val="20"/>
                <w:highlight w:val="none"/>
                <w:lang w:val="en-US" w:eastAsia="zh-CN"/>
              </w:rPr>
            </w:pPr>
            <w:r>
              <w:rPr>
                <w:rFonts w:hint="eastAsia"/>
                <w:color w:val="auto"/>
                <w:sz w:val="20"/>
                <w:szCs w:val="20"/>
                <w:highlight w:val="none"/>
                <w:lang w:val="en-US" w:eastAsia="zh-CN"/>
              </w:rPr>
              <w:t>公司在管理手册中明确了监视测量的要求，</w:t>
            </w:r>
            <w:r>
              <w:rPr>
                <w:rFonts w:hint="default"/>
                <w:color w:val="auto"/>
                <w:sz w:val="20"/>
                <w:szCs w:val="20"/>
                <w:highlight w:val="none"/>
                <w:lang w:val="en-US" w:eastAsia="zh-CN"/>
              </w:rPr>
              <w:t>制定了《顾客满意度测量控制程序》、《管理评审控制程序》和《内部审核控制程序》等程序。</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行政部保留“目标考核表”，对各部门完成目标情况进行监测；</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0"/>
                <w:szCs w:val="20"/>
                <w:highlight w:val="none"/>
                <w:lang w:val="en-US" w:eastAsia="zh-CN"/>
              </w:rPr>
            </w:pPr>
            <w:r>
              <w:rPr>
                <w:rFonts w:hint="eastAsia"/>
                <w:color w:val="auto"/>
                <w:sz w:val="20"/>
                <w:szCs w:val="20"/>
                <w:highlight w:val="none"/>
                <w:lang w:val="en-US" w:eastAsia="zh-CN"/>
              </w:rPr>
              <w:t>查见“月度销售统计”，抽见2021.4-6；每月记录成品销售数量、时间，以及原材料消耗情况，并进行汇总分析；</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查见“环境安全运行检查记录”，每月一次，抽见2021年1-5月，对固废集中收集、安全用电、消防安全、持证上岗等情况进行检查，均正常。</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提供三废“项目竣工环境保护验收报告”，对废气、噪声的排放浓度进行了检测；江西省南环检测技术有限公司出具，2020.9；</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检测结果：</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有组织废气：《大气污染物综合排放标准》(GB 16297-1996)表2二级标准限值，符合；</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厂界噪声：《工业企业厂界环境噪声排放标准》(GB12348-2008)表1中3类标准，符合；</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提供了“健康体检报告”，2021.5.21，赣南医学院第一附属医院出具，抽见：</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刘XX、欧阳XX等，体检结果正常；</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b/>
                <w:color w:val="000000" w:themeColor="text1"/>
                <w:sz w:val="20"/>
                <w:szCs w:val="20"/>
              </w:rPr>
            </w:pPr>
            <w:r>
              <w:rPr>
                <w:rFonts w:hint="eastAsia"/>
                <w:color w:val="auto"/>
                <w:sz w:val="20"/>
                <w:szCs w:val="20"/>
                <w:highlight w:val="none"/>
                <w:lang w:val="en-US" w:eastAsia="zh-CN"/>
              </w:rPr>
              <w:t>对目标完成、顾客满意等进行统计分析，保留分析结果。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20" w:type="dxa"/>
            <w:vMerge w:val="continue"/>
            <w:textDirection w:val="tbRlV"/>
            <w:vAlign w:val="center"/>
          </w:tcPr>
          <w:p>
            <w:pPr>
              <w:spacing w:line="360" w:lineRule="auto"/>
              <w:ind w:left="113" w:right="113"/>
              <w:jc w:val="center"/>
              <w:rPr>
                <w:b/>
                <w:color w:val="000000" w:themeColor="text1"/>
                <w:sz w:val="20"/>
                <w:szCs w:val="20"/>
              </w:rPr>
            </w:pPr>
          </w:p>
        </w:tc>
        <w:tc>
          <w:tcPr>
            <w:tcW w:w="9198" w:type="dxa"/>
          </w:tcPr>
          <w:p>
            <w:pPr>
              <w:spacing w:line="360" w:lineRule="auto"/>
              <w:ind w:left="100" w:hanging="100" w:hangingChars="50"/>
              <w:rPr>
                <w:rFonts w:hint="eastAsia"/>
                <w:b/>
                <w:color w:val="000000" w:themeColor="text1"/>
                <w:sz w:val="20"/>
                <w:szCs w:val="20"/>
              </w:rPr>
            </w:pPr>
            <w:r>
              <w:rPr>
                <w:rFonts w:hint="eastAsia"/>
                <w:b/>
                <w:color w:val="000000" w:themeColor="text1"/>
                <w:sz w:val="20"/>
                <w:szCs w:val="20"/>
              </w:rPr>
              <w:t>2.顾客满意</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“顾客满意度控制程序”，有效文件；明确了顾客满意度监测方法。</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“顾客满意程度调查表”，</w:t>
            </w:r>
            <w:r>
              <w:rPr>
                <w:rFonts w:hint="eastAsia" w:cs="Times New Roman"/>
                <w:color w:val="auto"/>
                <w:sz w:val="20"/>
                <w:szCs w:val="20"/>
                <w:lang w:val="en-US" w:eastAsia="zh-CN"/>
              </w:rPr>
              <w:t>业务部</w:t>
            </w:r>
            <w:r>
              <w:rPr>
                <w:rFonts w:hint="eastAsia" w:ascii="Times New Roman" w:hAnsi="Times New Roman" w:cs="Times New Roman"/>
                <w:color w:val="auto"/>
                <w:sz w:val="20"/>
                <w:szCs w:val="20"/>
                <w:lang w:val="en-US" w:eastAsia="zh-CN"/>
              </w:rPr>
              <w:t>于2021年4月12日-- 2021年4月15日进行顾客满意度调查，发放调查表</w:t>
            </w:r>
            <w:r>
              <w:rPr>
                <w:rFonts w:hint="eastAsia" w:cs="Times New Roman"/>
                <w:color w:val="auto"/>
                <w:sz w:val="20"/>
                <w:szCs w:val="20"/>
                <w:lang w:val="en-US" w:eastAsia="zh-CN"/>
              </w:rPr>
              <w:t>4</w:t>
            </w:r>
            <w:r>
              <w:rPr>
                <w:rFonts w:hint="eastAsia" w:ascii="Times New Roman" w:hAnsi="Times New Roman" w:cs="Times New Roman"/>
                <w:color w:val="auto"/>
                <w:sz w:val="20"/>
                <w:szCs w:val="20"/>
                <w:lang w:val="en-US" w:eastAsia="zh-CN"/>
              </w:rPr>
              <w:t>份，回收调查表共</w:t>
            </w:r>
            <w:r>
              <w:rPr>
                <w:rFonts w:hint="eastAsia" w:cs="Times New Roman"/>
                <w:color w:val="auto"/>
                <w:sz w:val="20"/>
                <w:szCs w:val="20"/>
                <w:lang w:val="en-US" w:eastAsia="zh-CN"/>
              </w:rPr>
              <w:t>4</w:t>
            </w:r>
            <w:r>
              <w:rPr>
                <w:rFonts w:hint="eastAsia" w:ascii="Times New Roman" w:hAnsi="Times New Roman" w:cs="Times New Roman"/>
                <w:color w:val="auto"/>
                <w:sz w:val="20"/>
                <w:szCs w:val="20"/>
                <w:lang w:val="en-US" w:eastAsia="zh-CN"/>
              </w:rPr>
              <w:t>份。调查项目包括产品质量、价格比、交货期、售后服务等。</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eastAsia="宋体"/>
                <w:b/>
                <w:color w:val="000000" w:themeColor="text1"/>
                <w:sz w:val="20"/>
                <w:szCs w:val="20"/>
                <w:lang w:val="en-US" w:eastAsia="zh-CN"/>
              </w:rPr>
            </w:pPr>
            <w:r>
              <w:rPr>
                <w:rFonts w:hint="eastAsia" w:ascii="Times New Roman" w:hAnsi="Times New Roman" w:cs="Times New Roman"/>
                <w:color w:val="auto"/>
                <w:sz w:val="20"/>
                <w:szCs w:val="20"/>
                <w:lang w:val="en-US" w:eastAsia="zh-CN"/>
              </w:rPr>
              <w:t>“顾客满意度调查分析”，显示对本次调查的结果进行统计分析，顾客满意度平均分为97分。</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20" w:type="dxa"/>
            <w:vMerge w:val="continue"/>
            <w:textDirection w:val="tbRlV"/>
            <w:vAlign w:val="center"/>
          </w:tcPr>
          <w:p>
            <w:pPr>
              <w:spacing w:line="360" w:lineRule="auto"/>
              <w:ind w:left="201" w:right="113" w:hanging="201" w:hangingChars="100"/>
              <w:jc w:val="center"/>
              <w:rPr>
                <w:b/>
                <w:color w:val="000000" w:themeColor="text1"/>
                <w:sz w:val="20"/>
                <w:szCs w:val="20"/>
              </w:rPr>
            </w:pPr>
          </w:p>
        </w:tc>
        <w:tc>
          <w:tcPr>
            <w:tcW w:w="9198" w:type="dxa"/>
          </w:tcPr>
          <w:p>
            <w:pPr>
              <w:spacing w:line="360" w:lineRule="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制定有《内部审核程序》，有效文件，无变化；</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2021年4月26-27日，对各部门进行了内审，保留了内审计划、内审记录、不符合报告、内审报告；内审覆盖了管理体系范围内的活动及标准的要求；</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内审结论为：三体系运行基本良好，运行达到一定的效果，基本符合标准的要求，但仍存在不足，各部门应举一反三，对类似问题予以整改。保持《不符合、纠正和预防措施控制程序》、《事故调查处理控制程序》，有效文件；</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b/>
                <w:color w:val="000000" w:themeColor="text1"/>
                <w:sz w:val="20"/>
                <w:szCs w:val="20"/>
              </w:rPr>
            </w:pPr>
            <w:r>
              <w:rPr>
                <w:rFonts w:hint="eastAsia"/>
                <w:color w:val="auto"/>
                <w:sz w:val="20"/>
                <w:szCs w:val="20"/>
                <w:highlight w:val="none"/>
                <w:lang w:val="en-US" w:eastAsia="zh-CN"/>
              </w:rPr>
              <w:t>本次内审开具不符合报告1份，进行了不合格原因分析，制定并实施了纠正措施，已整改，进行了效果验证。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20" w:type="dxa"/>
            <w:vMerge w:val="continue"/>
            <w:textDirection w:val="tbRlV"/>
            <w:vAlign w:val="center"/>
          </w:tcPr>
          <w:p>
            <w:pPr>
              <w:spacing w:line="360" w:lineRule="auto"/>
              <w:ind w:left="201" w:right="113" w:hanging="201" w:hangingChars="100"/>
              <w:jc w:val="center"/>
              <w:rPr>
                <w:b/>
                <w:color w:val="000000" w:themeColor="text1"/>
                <w:sz w:val="20"/>
                <w:szCs w:val="20"/>
              </w:rPr>
            </w:pPr>
          </w:p>
        </w:tc>
        <w:tc>
          <w:tcPr>
            <w:tcW w:w="9198" w:type="dxa"/>
          </w:tcPr>
          <w:p>
            <w:pPr>
              <w:spacing w:line="360" w:lineRule="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ind w:firstLine="400" w:firstLineChars="200"/>
              <w:rPr>
                <w:rFonts w:hint="eastAsia"/>
                <w:sz w:val="20"/>
                <w:szCs w:val="20"/>
                <w:lang w:val="en-US" w:eastAsia="zh-CN"/>
              </w:rPr>
            </w:pPr>
            <w:r>
              <w:rPr>
                <w:rFonts w:hint="eastAsia"/>
                <w:sz w:val="20"/>
                <w:szCs w:val="20"/>
                <w:lang w:val="en-US" w:eastAsia="zh-CN"/>
              </w:rPr>
              <w:t>2021年5月10日在公司会议室由孙壮凯总经理主持召开管理评审会议；</w:t>
            </w:r>
          </w:p>
          <w:p>
            <w:pPr>
              <w:spacing w:line="360" w:lineRule="auto"/>
              <w:ind w:firstLine="400" w:firstLineChars="200"/>
              <w:rPr>
                <w:rFonts w:hint="eastAsia"/>
                <w:sz w:val="20"/>
                <w:szCs w:val="20"/>
                <w:lang w:val="en-US" w:eastAsia="zh-CN"/>
              </w:rPr>
            </w:pPr>
            <w:r>
              <w:rPr>
                <w:rFonts w:hint="eastAsia"/>
                <w:sz w:val="20"/>
                <w:szCs w:val="20"/>
                <w:lang w:val="en-US" w:eastAsia="zh-CN"/>
              </w:rPr>
              <w:t>保留管理评审计划、管理评审报告、管理评审会议纪要等；</w:t>
            </w:r>
          </w:p>
          <w:p>
            <w:pPr>
              <w:spacing w:line="360" w:lineRule="auto"/>
              <w:ind w:firstLine="400" w:firstLineChars="200"/>
              <w:rPr>
                <w:rFonts w:hint="eastAsia"/>
                <w:sz w:val="20"/>
                <w:szCs w:val="20"/>
                <w:lang w:val="en-US" w:eastAsia="zh-CN"/>
              </w:rPr>
            </w:pPr>
            <w:r>
              <w:rPr>
                <w:rFonts w:hint="eastAsia"/>
                <w:sz w:val="20"/>
                <w:szCs w:val="20"/>
                <w:lang w:val="en-US" w:eastAsia="zh-CN"/>
              </w:rPr>
              <w:t>管理评审输入充分；</w:t>
            </w:r>
          </w:p>
          <w:p>
            <w:pPr>
              <w:spacing w:line="360" w:lineRule="auto"/>
              <w:ind w:firstLine="400" w:firstLineChars="200"/>
              <w:rPr>
                <w:rFonts w:hint="eastAsia"/>
                <w:sz w:val="20"/>
                <w:szCs w:val="20"/>
                <w:lang w:val="en-US" w:eastAsia="zh-CN"/>
              </w:rPr>
            </w:pPr>
            <w:r>
              <w:rPr>
                <w:rFonts w:hint="eastAsia"/>
                <w:sz w:val="20"/>
                <w:szCs w:val="20"/>
                <w:lang w:val="en-US" w:eastAsia="zh-CN"/>
              </w:rPr>
              <w:t>管理评审结论：建立和运行是充分的、适宜的、有效的。</w:t>
            </w:r>
          </w:p>
          <w:p>
            <w:pPr>
              <w:spacing w:line="360" w:lineRule="auto"/>
              <w:ind w:firstLine="400" w:firstLineChars="200"/>
              <w:rPr>
                <w:rFonts w:hint="eastAsia"/>
                <w:sz w:val="20"/>
                <w:szCs w:val="20"/>
                <w:lang w:val="en-US" w:eastAsia="zh-CN"/>
              </w:rPr>
            </w:pPr>
            <w:r>
              <w:rPr>
                <w:rFonts w:hint="eastAsia"/>
                <w:sz w:val="20"/>
                <w:szCs w:val="20"/>
                <w:lang w:val="en-US" w:eastAsia="zh-CN"/>
              </w:rPr>
              <w:t>改进措施要求：进一步组织对相关的法律、法规、规程和规范的学习，以增强广大技术人员的质量意识环境保护意识；</w:t>
            </w:r>
          </w:p>
          <w:p>
            <w:pPr>
              <w:spacing w:line="360" w:lineRule="auto"/>
              <w:ind w:firstLine="400" w:firstLineChars="200"/>
              <w:rPr>
                <w:b/>
                <w:color w:val="000000" w:themeColor="text1"/>
                <w:sz w:val="20"/>
                <w:szCs w:val="20"/>
              </w:rPr>
            </w:pPr>
            <w:r>
              <w:rPr>
                <w:rFonts w:hint="eastAsia"/>
                <w:sz w:val="20"/>
                <w:szCs w:val="20"/>
                <w:lang w:val="en-US" w:eastAsia="zh-CN"/>
              </w:rPr>
              <w:t>保留有“管理评审改进措施计划”。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查见“环境安全运行检查记录”，每月一次，抽见2021年1-5月，对固废集中收集、安全用电、消防安全、持证上岗等情况进行检查，均正常。</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提供三废“项目竣工环境保护验收报告”，对废气、噪声的排放浓度进行了检测；江西省南环检测技术有限公司出具，2020.9；</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检测结果：</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有组织废气：《大气污染物综合排放标准》(GB 16297-1996)表2二级标准限值，符合；</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color w:val="000000" w:themeColor="text1"/>
                <w:sz w:val="20"/>
                <w:szCs w:val="20"/>
                <w:lang w:val="en-US" w:eastAsia="zh-CN"/>
              </w:rPr>
            </w:pPr>
            <w:r>
              <w:rPr>
                <w:rFonts w:hint="eastAsia"/>
                <w:color w:val="auto"/>
                <w:sz w:val="20"/>
                <w:szCs w:val="20"/>
                <w:highlight w:val="none"/>
                <w:lang w:val="en-US" w:eastAsia="zh-CN"/>
              </w:rPr>
              <w:t>厂界噪声：《工业企业厂界环境噪声排放标准》(GB12348-2008)表1中3类标准，符合；</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ind w:firstLine="400" w:firstLineChars="200"/>
              <w:rPr>
                <w:rFonts w:hint="eastAsia" w:eastAsia="宋体"/>
                <w:b/>
                <w:color w:val="000000" w:themeColor="text1"/>
                <w:sz w:val="20"/>
                <w:szCs w:val="20"/>
                <w:lang w:val="en-US" w:eastAsia="zh-CN"/>
              </w:rPr>
            </w:pPr>
            <w:r>
              <w:rPr>
                <w:rFonts w:hint="eastAsia" w:ascii="Times New Roman" w:hAnsi="Times New Roman" w:eastAsia="宋体" w:cs="Times New Roman"/>
                <w:color w:val="auto"/>
                <w:kern w:val="2"/>
                <w:sz w:val="20"/>
                <w:szCs w:val="20"/>
                <w:highlight w:val="none"/>
                <w:lang w:val="en-US" w:eastAsia="zh-CN" w:bidi="ar-SA"/>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查见“环境安全运行检查记录”，每月一次，抽见2021年1-5月，对固废集中收集、安全用电、消防安全、持证上岗等情况进行检查，均正常。</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0"/>
                <w:szCs w:val="20"/>
                <w:highlight w:val="none"/>
                <w:lang w:val="en-US" w:eastAsia="zh-CN"/>
              </w:rPr>
            </w:pPr>
            <w:r>
              <w:rPr>
                <w:rFonts w:hint="eastAsia"/>
                <w:color w:val="auto"/>
                <w:sz w:val="20"/>
                <w:szCs w:val="20"/>
                <w:highlight w:val="none"/>
                <w:lang w:val="en-US" w:eastAsia="zh-CN"/>
              </w:rPr>
              <w:t>提供了“健康体检报告”，2021.5.21，赣南医学院第一附属医院出具，抽见：</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b/>
                <w:color w:val="000000" w:themeColor="text1"/>
                <w:sz w:val="20"/>
                <w:szCs w:val="20"/>
              </w:rPr>
            </w:pPr>
            <w:r>
              <w:rPr>
                <w:rFonts w:hint="eastAsia"/>
                <w:color w:val="auto"/>
                <w:sz w:val="20"/>
                <w:szCs w:val="20"/>
                <w:highlight w:val="none"/>
                <w:lang w:val="en-US" w:eastAsia="zh-CN"/>
              </w:rPr>
              <w:t>刘XX、欧阳XX等，体检结果正常；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Merge w:val="continue"/>
            <w:tcBorders>
              <w:bottom w:val="single" w:color="auto" w:sz="4" w:space="0"/>
            </w:tcBorders>
            <w:vAlign w:val="center"/>
          </w:tcPr>
          <w:p>
            <w:pPr>
              <w:spacing w:line="360" w:lineRule="auto"/>
              <w:jc w:val="center"/>
              <w:rPr>
                <w:b/>
                <w:color w:val="000000" w:themeColor="text1"/>
                <w:sz w:val="20"/>
                <w:szCs w:val="20"/>
              </w:rPr>
            </w:pPr>
          </w:p>
        </w:tc>
        <w:tc>
          <w:tcPr>
            <w:tcW w:w="9198" w:type="dxa"/>
            <w:tcBorders>
              <w:bottom w:val="single" w:color="auto" w:sz="4" w:space="0"/>
            </w:tcBorders>
          </w:tcPr>
          <w:p>
            <w:pPr>
              <w:widowControl/>
              <w:spacing w:line="360" w:lineRule="auto"/>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20" w:type="dxa"/>
            <w:vMerge w:val="restart"/>
            <w:vAlign w:val="center"/>
          </w:tcPr>
          <w:p>
            <w:pPr>
              <w:spacing w:line="360" w:lineRule="auto"/>
              <w:ind w:left="113"/>
              <w:jc w:val="center"/>
              <w:rPr>
                <w:b/>
                <w:color w:val="000000" w:themeColor="text1"/>
                <w:sz w:val="20"/>
                <w:szCs w:val="20"/>
              </w:rPr>
            </w:pPr>
            <w:r>
              <w:rPr>
                <w:rFonts w:hint="eastAsia"/>
                <w:b/>
                <w:color w:val="000000" w:themeColor="text1"/>
                <w:sz w:val="20"/>
                <w:szCs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ind w:firstLine="376" w:firstLineChars="200"/>
              <w:rPr>
                <w:b/>
                <w:color w:val="000000" w:themeColor="text1"/>
                <w:sz w:val="20"/>
                <w:szCs w:val="20"/>
              </w:rPr>
            </w:pPr>
            <w:r>
              <w:rPr>
                <w:rFonts w:hint="eastAsia" w:ascii="宋体" w:hAnsi="宋体" w:cs="Arial"/>
                <w:spacing w:val="-6"/>
                <w:sz w:val="20"/>
                <w:szCs w:val="20"/>
                <w:highlight w:val="none"/>
                <w:lang w:val="en-US" w:eastAsia="zh-CN"/>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一阶段未提出整改意见。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rFonts w:hint="eastAsia"/>
                <w:b/>
                <w:color w:val="000000" w:themeColor="text1"/>
                <w:sz w:val="20"/>
                <w:szCs w:val="20"/>
              </w:rPr>
            </w:pPr>
            <w:r>
              <w:rPr>
                <w:rFonts w:hint="eastAsia"/>
                <w:b/>
                <w:color w:val="000000" w:themeColor="text1"/>
                <w:sz w:val="20"/>
                <w:szCs w:val="20"/>
              </w:rPr>
              <w:t>4.创新情况</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rFonts w:hint="eastAsia"/>
                <w:b/>
                <w:color w:val="000000" w:themeColor="text1"/>
                <w:sz w:val="20"/>
                <w:szCs w:val="20"/>
              </w:rPr>
            </w:pPr>
            <w:r>
              <w:rPr>
                <w:rFonts w:hint="eastAsia"/>
                <w:b/>
                <w:color w:val="000000" w:themeColor="text1"/>
                <w:sz w:val="20"/>
                <w:szCs w:val="20"/>
              </w:rPr>
              <w:t>5. 上次不符合的整改情况（再认证填写）</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bookmarkStart w:id="21" w:name="_GoBack"/>
            <w:bookmarkEnd w:id="21"/>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spacing w:line="360" w:lineRule="auto"/>
              <w:ind w:firstLine="376" w:firstLineChars="200"/>
              <w:jc w:val="both"/>
              <w:rPr>
                <w:rFonts w:hint="eastAsia"/>
                <w:lang w:val="en-US" w:eastAsia="zh-CN"/>
              </w:rPr>
            </w:pPr>
            <w:r>
              <w:rPr>
                <w:rFonts w:hint="eastAsia" w:ascii="宋体" w:hAnsi="宋体" w:eastAsia="宋体" w:cs="Arial"/>
                <w:b w:val="0"/>
                <w:spacing w:val="-6"/>
                <w:kern w:val="2"/>
                <w:sz w:val="20"/>
                <w:szCs w:val="20"/>
                <w:highlight w:val="none"/>
                <w:lang w:val="en-US" w:eastAsia="zh-CN" w:bidi="ar-SA"/>
              </w:rPr>
              <w:t>组织建立并实施的管理体系基本符合标准要求，可能存在的重要风险可以得到有效控制，没有出现过环境和安全事故以及顾客投诉事件发生，体系运行基本有效，组织初步建立了自我完善和自我改进机制。经审核组确认同意推荐认证注册。</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spacing w:line="360" w:lineRule="auto"/>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spacing w:line="360" w:lineRule="auto"/>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spacing w:line="360" w:lineRule="auto"/>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pacing w:line="360" w:lineRule="auto"/>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pacing w:line="360" w:lineRule="auto"/>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pacing w:line="360" w:lineRule="auto"/>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pacing w:line="360" w:lineRule="auto"/>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pacing w:line="360" w:lineRule="auto"/>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spacing w:line="360" w:lineRule="auto"/>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spacing w:line="360" w:lineRule="auto"/>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65" w:leftChars="-405" w:hanging="785" w:hangingChars="326"/>
        <w:rPr>
          <w:b/>
          <w:color w:val="000000" w:themeColor="text1"/>
          <w:sz w:val="16"/>
          <w:szCs w:val="16"/>
        </w:rPr>
      </w:pPr>
      <w:r>
        <w:rPr>
          <w:rFonts w:hint="eastAsia" w:ascii="宋体" w:hAnsi="宋体"/>
          <w:b/>
          <w:kern w:val="0"/>
          <w:sz w:val="24"/>
        </w:rPr>
        <w:drawing>
          <wp:anchor distT="0" distB="0" distL="114300" distR="114300" simplePos="0" relativeHeight="251664384" behindDoc="0" locked="0" layoutInCell="1" allowOverlap="1">
            <wp:simplePos x="0" y="0"/>
            <wp:positionH relativeFrom="column">
              <wp:posOffset>1522730</wp:posOffset>
            </wp:positionH>
            <wp:positionV relativeFrom="paragraph">
              <wp:posOffset>352425</wp:posOffset>
            </wp:positionV>
            <wp:extent cx="759460" cy="457835"/>
            <wp:effectExtent l="0" t="0" r="2540" b="18415"/>
            <wp:wrapNone/>
            <wp:docPr id="4"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59460" cy="45783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sz w:val="21"/>
          <w:szCs w:val="21"/>
          <w:lang w:eastAsia="zh-CN"/>
        </w:rPr>
        <w:drawing>
          <wp:anchor distT="0" distB="0" distL="114300" distR="114300" simplePos="0" relativeHeight="251672576" behindDoc="0" locked="0" layoutInCell="1" allowOverlap="1">
            <wp:simplePos x="0" y="0"/>
            <wp:positionH relativeFrom="column">
              <wp:posOffset>2482215</wp:posOffset>
            </wp:positionH>
            <wp:positionV relativeFrom="paragraph">
              <wp:posOffset>70485</wp:posOffset>
            </wp:positionV>
            <wp:extent cx="619760" cy="508000"/>
            <wp:effectExtent l="0" t="0" r="8890" b="6350"/>
            <wp:wrapNone/>
            <wp:docPr id="3" name="图片 3" descr="蒙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蒙亭"/>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619760" cy="508000"/>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70528" behindDoc="0" locked="0" layoutInCell="1" allowOverlap="1">
            <wp:simplePos x="0" y="0"/>
            <wp:positionH relativeFrom="column">
              <wp:posOffset>1686560</wp:posOffset>
            </wp:positionH>
            <wp:positionV relativeFrom="paragraph">
              <wp:posOffset>139065</wp:posOffset>
            </wp:positionV>
            <wp:extent cx="680085" cy="419100"/>
            <wp:effectExtent l="0" t="0" r="5715" b="0"/>
            <wp:wrapNone/>
            <wp:docPr id="5" name="图片 5" descr="签名-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文波"/>
                    <pic:cNvPicPr>
                      <a:picLocks noChangeAspect="1"/>
                    </pic:cNvPicPr>
                  </pic:nvPicPr>
                  <pic:blipFill>
                    <a:blip r:embed="rId8"/>
                    <a:stretch>
                      <a:fillRect/>
                    </a:stretch>
                  </pic:blipFill>
                  <pic:spPr>
                    <a:xfrm>
                      <a:off x="0" y="0"/>
                      <a:ext cx="680085" cy="41910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608" w:firstLineChars="2660"/>
        <w:rPr>
          <w:rFonts w:hint="eastAsia"/>
          <w:b/>
          <w:color w:val="000000" w:themeColor="text1"/>
        </w:rPr>
      </w:pPr>
    </w:p>
    <w:p>
      <w:pPr>
        <w:snapToGrid w:val="0"/>
        <w:spacing w:line="360" w:lineRule="auto"/>
        <w:ind w:firstLine="5608" w:firstLineChars="26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line="360" w:lineRule="auto"/>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spacing w:line="360" w:lineRule="auto"/>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line="360" w:lineRule="auto"/>
        <w:rPr>
          <w:b/>
          <w:color w:val="000000" w:themeColor="text1"/>
          <w:szCs w:val="21"/>
        </w:rPr>
      </w:pPr>
      <w:r>
        <w:rPr>
          <w:rFonts w:hint="eastAsia" w:ascii="宋体" w:hAnsi="宋体"/>
          <w:b/>
          <w:kern w:val="0"/>
          <w:sz w:val="24"/>
        </w:rPr>
        <w:drawing>
          <wp:anchor distT="0" distB="0" distL="114300" distR="114300" simplePos="0" relativeHeight="251679744" behindDoc="0" locked="0" layoutInCell="1" allowOverlap="1">
            <wp:simplePos x="0" y="0"/>
            <wp:positionH relativeFrom="column">
              <wp:posOffset>703580</wp:posOffset>
            </wp:positionH>
            <wp:positionV relativeFrom="paragraph">
              <wp:posOffset>104775</wp:posOffset>
            </wp:positionV>
            <wp:extent cx="759460" cy="457835"/>
            <wp:effectExtent l="0" t="0" r="2540" b="18415"/>
            <wp:wrapNone/>
            <wp:docPr id="6"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59460" cy="45783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5</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A14F3A"/>
    <w:rsid w:val="25716A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jc w:val="center"/>
      <w:outlineLvl w:val="1"/>
    </w:pPr>
    <w:rPr>
      <w:rFonts w:ascii="宋体" w:hAnsi="宋体"/>
      <w:b/>
      <w:sz w:val="5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14</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2021-07-03T07:02:00Z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