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r>
        <w:rPr>
          <w:rFonts w:hint="eastAsia" w:eastAsia="隶书"/>
          <w:sz w:val="30"/>
          <w:szCs w:val="30"/>
        </w:rPr>
        <w:t>审核组工作情况反馈表</w:t>
      </w:r>
    </w:p>
    <w:bookmarkEnd w:id="4"/>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江西百好新型建材有限公司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O：GB/T45001-2020 / ISO45001：2018,</w:t>
            </w:r>
          </w:p>
          <w:p>
            <w:pPr>
              <w:ind w:left="70" w:leftChars="29"/>
              <w:rPr>
                <w:rFonts w:hint="eastAsia"/>
                <w:sz w:val="22"/>
                <w:szCs w:val="22"/>
              </w:rPr>
            </w:pPr>
            <w:r>
              <w:rPr>
                <w:rFonts w:hint="eastAsia"/>
                <w:sz w:val="22"/>
                <w:szCs w:val="22"/>
              </w:rPr>
              <w:t>E：GB/T 24001-2016/ISO14001:2015</w:t>
            </w:r>
            <w:bookmarkEnd w:id="1"/>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p>
            <w:pPr>
              <w:snapToGrid w:val="0"/>
              <w:spacing w:line="320" w:lineRule="exact"/>
              <w:ind w:left="1309"/>
              <w:rPr>
                <w:sz w:val="22"/>
                <w:szCs w:val="22"/>
                <w:highlight w:val="none"/>
              </w:rPr>
            </w:pPr>
            <w:r>
              <w:rPr>
                <w:sz w:val="22"/>
                <w:szCs w:val="22"/>
                <w:highlight w:val="none"/>
              </w:rPr>
              <w:t>2019-N1OHSMS-2068076</w:t>
            </w:r>
          </w:p>
          <w:p>
            <w:pPr>
              <w:snapToGrid w:val="0"/>
              <w:spacing w:line="320" w:lineRule="exact"/>
              <w:ind w:left="1309"/>
              <w:rPr>
                <w:sz w:val="22"/>
                <w:szCs w:val="22"/>
                <w:highlight w:val="none"/>
              </w:rPr>
            </w:pPr>
            <w:r>
              <w:rPr>
                <w:sz w:val="22"/>
                <w:szCs w:val="22"/>
                <w:highlight w:val="none"/>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2020-N1OHSMS-1257737</w:t>
            </w:r>
          </w:p>
          <w:p>
            <w:pPr>
              <w:snapToGrid w:val="0"/>
              <w:spacing w:line="320" w:lineRule="exact"/>
              <w:ind w:left="1309"/>
              <w:rPr>
                <w:sz w:val="22"/>
                <w:szCs w:val="22"/>
                <w:highlight w:val="none"/>
              </w:rPr>
            </w:pPr>
            <w:r>
              <w:rPr>
                <w:sz w:val="22"/>
                <w:szCs w:val="22"/>
                <w:highlight w:val="none"/>
              </w:rPr>
              <w:t>2019-N1EMS-1257737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蒙亭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ISC-JSZJ-307</w:t>
            </w:r>
          </w:p>
          <w:p>
            <w:pPr>
              <w:snapToGrid w:val="0"/>
              <w:spacing w:line="320" w:lineRule="exact"/>
              <w:ind w:left="1309"/>
              <w:rPr>
                <w:sz w:val="22"/>
                <w:szCs w:val="22"/>
                <w:highlight w:val="none"/>
              </w:rPr>
            </w:pPr>
            <w:r>
              <w:rPr>
                <w:sz w:val="22"/>
                <w:szCs w:val="22"/>
                <w:highlight w:val="none"/>
              </w:rPr>
              <w:t>ISC-JSZJ-307</w:t>
            </w:r>
          </w:p>
          <w:p>
            <w:pPr>
              <w:snapToGrid w:val="0"/>
              <w:spacing w:line="320" w:lineRule="exact"/>
              <w:ind w:left="1309"/>
              <w:rPr>
                <w:sz w:val="22"/>
                <w:szCs w:val="22"/>
                <w:highlight w:val="none"/>
              </w:rPr>
            </w:pPr>
            <w:r>
              <w:rPr>
                <w:sz w:val="22"/>
                <w:szCs w:val="22"/>
                <w:highlight w:val="none"/>
              </w:rPr>
              <w:t>ISC-JSZJ-307</w:t>
            </w:r>
          </w:p>
          <w:p>
            <w:pPr>
              <w:snapToGrid w:val="0"/>
              <w:spacing w:line="320" w:lineRule="exact"/>
              <w:ind w:left="1309"/>
              <w:rPr>
                <w:sz w:val="22"/>
                <w:szCs w:val="22"/>
                <w:highlight w:val="none"/>
              </w:rPr>
            </w:pPr>
            <w:r>
              <w:rPr>
                <w:sz w:val="22"/>
                <w:szCs w:val="22"/>
                <w:highlight w:val="none"/>
              </w:rPr>
              <w:t>统领科技（赣州）有限公司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金梅淡">
    <w:panose1 w:val="02010609000101010101"/>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2A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2021-06-28T07:42:42Z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