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default" w:eastAsia="宋体"/>
          <w:b/>
          <w:sz w:val="22"/>
          <w:szCs w:val="22"/>
          <w:lang w:val="en-US" w:eastAsia="zh-CN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E</w:t>
      </w:r>
      <w:r>
        <w:rPr>
          <w:rFonts w:hint="eastAsia"/>
          <w:b/>
          <w:sz w:val="22"/>
          <w:szCs w:val="22"/>
          <w:lang w:val="en-US" w:eastAsia="zh-CN"/>
        </w:rPr>
        <w:t>n</w:t>
      </w:r>
      <w:r>
        <w:rPr>
          <w:b/>
          <w:sz w:val="22"/>
          <w:szCs w:val="22"/>
        </w:rPr>
        <w:t>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8"/>
        <w:gridCol w:w="125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沙洋弘润建材有限公司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2.10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57150</wp:posOffset>
                  </wp:positionV>
                  <wp:extent cx="622300" cy="312420"/>
                  <wp:effectExtent l="0" t="0" r="0" b="5080"/>
                  <wp:wrapSquare wrapText="bothSides"/>
                  <wp:docPr id="2" name="图片 2" descr="e18f9f5b39c50039854ac9cd0ec7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18f9f5b39c50039854ac9cd0ec74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126365</wp:posOffset>
                  </wp:positionV>
                  <wp:extent cx="5146040" cy="2319020"/>
                  <wp:effectExtent l="0" t="0" r="10160" b="5080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6040" cy="231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主要能耗设备、主要计量设备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主要能耗设备：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原料工段：电磁振动给料机、斗式提升机、带式输送机、混合机；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熔化工段：斜毯式投料机、浮法玻璃熔窑、玻璃液水平搅拌机、深层水包、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主要计量设备：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电子汽车衡、电度表、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能源种类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石油焦、电力；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1、中华人民共和国节约能源法；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2、中华人民共和国计量法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3、GB/T15587:1995 工业企业能源管理导则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4、GB/T2589:2018 综合能耗计算通则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5、GB/T13234:1991 企业节能量计算方法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6、GB/T3484:1993 企业能量平衡通则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7、GB/T3794:1993 企业能量平衡技术考核验收标准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8、GB21340-2019《玻璃和铸石单位产品能源消耗限额》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9、《国务院关于加强节能工作的决定》（国发【2006】28号）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10、《国务院关于印发“十二五”节能减排综合性工作方案的通知》（国发【2011】26号）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11、《国务院关于印发“十二五”节能环保产业发展规划的通知》（国发【2012】19号）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12、《国务院关于进一步加强节油节电工作的通知》（国发【2008】23号）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13、《湖北省应对气候变化和节能“十三五”规划》（2016年11月19日）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lang w:val="en-US" w:eastAsia="zh-CN"/>
              </w:rPr>
              <w:t>14、《关于印发湖北省可再生能源发展“十三五”规划的通知》（鄂发改能源【2017】194号）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4378325</wp:posOffset>
            </wp:positionH>
            <wp:positionV relativeFrom="page">
              <wp:posOffset>1554480</wp:posOffset>
            </wp:positionV>
            <wp:extent cx="570230" cy="435610"/>
            <wp:effectExtent l="0" t="0" r="1270" b="8890"/>
            <wp:wrapSquare wrapText="bothSides"/>
            <wp:docPr id="1" name="图片 3" descr="15539996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1553999692(1)"/>
                    <pic:cNvPicPr>
                      <a:picLocks noChangeAspect="1"/>
                    </pic:cNvPicPr>
                  </pic:nvPicPr>
                  <pic:blipFill>
                    <a:blip r:embed="rId7">
                      <a:lum bright="35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1346200</wp:posOffset>
            </wp:positionH>
            <wp:positionV relativeFrom="paragraph">
              <wp:posOffset>78105</wp:posOffset>
            </wp:positionV>
            <wp:extent cx="622300" cy="312420"/>
            <wp:effectExtent l="0" t="0" r="0" b="5080"/>
            <wp:wrapSquare wrapText="bothSides"/>
            <wp:docPr id="6" name="图片 6" descr="e18f9f5b39c50039854ac9cd0ec7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18f9f5b39c50039854ac9cd0ec74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2021.6.15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2021.6.15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1614CA"/>
    <w:rsid w:val="798B08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7</TotalTime>
  <ScaleCrop>false</ScaleCrop>
  <LinksUpToDate>false</LinksUpToDate>
  <CharactersWithSpaces>314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2021-06-20T06:41:20Z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5D74AC288EE1444E8C62DDCF28BCF56B</vt:lpwstr>
  </property>
</Properties>
</file>