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浙江顺舟电力高技术有限公司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行政中心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龙和祥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《法律法规及其他要求清单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及合规性评价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》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内发现未收集《中华人民共和国民法典》、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 12348—2008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/>
                <w:b/>
                <w:sz w:val="22"/>
                <w:szCs w:val="22"/>
              </w:rPr>
              <w:instrText xml:space="preserve"> HYPERLINK "http://www.mee.gov.cn/ywgz/fgbz/bz/bzwb/wlhj/hjzspfbz/200809/W020161230342919235970.pdf" </w:instrText>
            </w:r>
            <w:r>
              <w:rPr>
                <w:rFonts w:hint="eastAsia" w:ascii="宋体" w:hAnsi="宋体"/>
                <w:b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工业企业厂界环境噪声排放标准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《用人单位职业病危害告知与警示标识管理规范》、GBZ158-2013《工作场所职业病危害警示标识》、GBZ188-2014《职业健康监护技术规范》、GBZ2.2-2017《工作场所有害因素职业接触限值 第2部分：物理因素》等企业实际经营相关的法规及标准文件。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 、9.1.2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 、9.1.2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D640F"/>
    <w:rsid w:val="3C8C3E17"/>
    <w:rsid w:val="74991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Mr.Wrong</cp:lastModifiedBy>
  <cp:lastPrinted>2019-05-13T03:02:00Z</cp:lastPrinted>
  <dcterms:modified xsi:type="dcterms:W3CDTF">2021-06-17T08:28:33Z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