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浙江顺舟电力高技术有限公司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王央央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方小娥</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E:19.01.01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王丽娟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E:19.01.01</w:t>
            </w:r>
          </w:p>
          <w:p>
            <w:pPr>
              <w:spacing w:line="240" w:lineRule="exact"/>
              <w:jc w:val="center"/>
              <w:rPr>
                <w:b/>
                <w:color w:val="000000" w:themeColor="text1"/>
                <w:sz w:val="20"/>
                <w:szCs w:val="20"/>
              </w:rPr>
            </w:pPr>
            <w:r>
              <w:rPr>
                <w:b/>
                <w:color w:val="000000" w:themeColor="text1"/>
                <w:sz w:val="20"/>
                <w:szCs w:val="20"/>
              </w:rPr>
              <w:t>O:19.01.01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浙江顺舟电力高技术有限公司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杭州市莫干山路1418号（上城科技工业基地）</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杭州市莫干山路1418号（上城科技工业基地）</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卢晓东</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13588866678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李锦红</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李锦红</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卢晓东</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E：电子标签，电能计量封印的设计、生产所涉及场所的相关环境管理活动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O：电子标签，电能计量封印的设计、生产所涉及场所的相关职业健康安全管理活动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E：19.01.01</w:t>
            </w:r>
          </w:p>
          <w:p>
            <w:pPr>
              <w:spacing w:line="320" w:lineRule="exact"/>
              <w:rPr>
                <w:rFonts w:ascii="宋体" w:hAnsi="宋体"/>
                <w:b/>
                <w:color w:val="000000" w:themeColor="text1"/>
                <w:sz w:val="20"/>
                <w:szCs w:val="20"/>
              </w:rPr>
            </w:pPr>
            <w:r>
              <w:rPr>
                <w:rFonts w:ascii="宋体" w:hAnsi="宋体"/>
                <w:b/>
                <w:color w:val="000000" w:themeColor="text1"/>
                <w:sz w:val="20"/>
                <w:szCs w:val="20"/>
              </w:rPr>
              <w:t>O：19.01.01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2021-01-13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rPr>
              <w:t>高管层（含员工代表）</w:t>
            </w:r>
          </w:p>
        </w:tc>
        <w:tc>
          <w:tcPr>
            <w:tcW w:w="6804" w:type="dxa"/>
            <w:vAlign w:val="top"/>
          </w:tcPr>
          <w:p>
            <w:pPr>
              <w:jc w:val="left"/>
              <w:rPr>
                <w:rFonts w:hint="eastAsia"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sz w:val="20"/>
                <w:szCs w:val="20"/>
                <w:lang w:val="en-US" w:eastAsia="zh-CN"/>
              </w:rPr>
              <w:t>内外部环境、风险识别、资源支持、内审管理、管理评审等，与管理层有关的质量、环境、职业健康安全管理活动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黑体" w:hAnsi="黑体" w:eastAsia="黑体" w:cs="黑体"/>
                <w:lang w:val="en-US" w:eastAsia="zh-CN"/>
              </w:rPr>
              <w:t>行政中心</w:t>
            </w:r>
          </w:p>
        </w:tc>
        <w:tc>
          <w:tcPr>
            <w:tcW w:w="6804" w:type="dxa"/>
            <w:vAlign w:val="top"/>
          </w:tcPr>
          <w:p>
            <w:pPr>
              <w:jc w:val="left"/>
              <w:rPr>
                <w:rFonts w:hint="eastAsia"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sz w:val="20"/>
                <w:szCs w:val="20"/>
                <w:lang w:val="en-US" w:eastAsia="zh-CN"/>
              </w:rPr>
              <w:t>人力资源管理过程；资源提供与管理过程控制；内外部信息交流过程；内外部信息交流等过程及相应环境、职业健康安全管理体系运行过程；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营销中心</w:t>
            </w:r>
          </w:p>
        </w:tc>
        <w:tc>
          <w:tcPr>
            <w:tcW w:w="6804" w:type="dxa"/>
            <w:vAlign w:val="top"/>
          </w:tcPr>
          <w:p>
            <w:pPr>
              <w:jc w:val="left"/>
              <w:rPr>
                <w:rFonts w:hint="eastAsia"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sz w:val="20"/>
                <w:szCs w:val="20"/>
                <w:lang w:val="en-US" w:eastAsia="zh-CN"/>
              </w:rPr>
              <w:t>销售过程、顾客财产、客户满意相关等过程及相应环境、职业健康安全管理体系运行过程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物流中心</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lang w:val="en-US" w:eastAsia="zh-CN"/>
              </w:rPr>
              <w:t>供应商评价、采购过程</w:t>
            </w:r>
            <w:r>
              <w:rPr>
                <w:rFonts w:hint="eastAsia" w:cs="宋体" w:asciiTheme="minorEastAsia" w:hAnsiTheme="minorEastAsia" w:eastAsiaTheme="minorEastAsia"/>
                <w:sz w:val="20"/>
                <w:szCs w:val="20"/>
              </w:rPr>
              <w:t>相关等过程及相应环境、职业健康安全管理体系运行过程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1"/>
                <w:szCs w:val="21"/>
                <w:lang w:val="en-US" w:eastAsia="zh-CN" w:bidi="ar-SA"/>
              </w:rPr>
            </w:pPr>
            <w:r>
              <w:rPr>
                <w:rFonts w:hint="eastAsia" w:ascii="宋体" w:hAnsi="宋体" w:cs="Times New Roman"/>
                <w:b/>
                <w:color w:val="000000" w:themeColor="text1"/>
                <w:sz w:val="20"/>
                <w:szCs w:val="20"/>
                <w:lang w:val="en-US" w:eastAsia="zh-CN"/>
              </w:rPr>
              <w:t>研发中心/技术质量中心</w:t>
            </w:r>
          </w:p>
        </w:tc>
        <w:tc>
          <w:tcPr>
            <w:tcW w:w="6804" w:type="dxa"/>
            <w:vAlign w:val="top"/>
          </w:tcPr>
          <w:p>
            <w:pPr>
              <w:rPr>
                <w:rFonts w:ascii="宋体" w:hAnsi="宋体" w:eastAsia="宋体" w:cs="Times New Roman"/>
                <w:b/>
                <w:color w:val="000000" w:themeColor="text1"/>
                <w:spacing w:val="-20"/>
                <w:kern w:val="2"/>
                <w:sz w:val="21"/>
                <w:szCs w:val="21"/>
                <w:u w:val="single"/>
                <w:lang w:val="en-US" w:eastAsia="zh-CN" w:bidi="ar-SA"/>
              </w:rPr>
            </w:pPr>
            <w:r>
              <w:rPr>
                <w:rFonts w:hint="eastAsia" w:cs="宋体" w:asciiTheme="minorEastAsia" w:hAnsiTheme="minorEastAsia" w:eastAsiaTheme="minorEastAsia"/>
                <w:sz w:val="20"/>
                <w:szCs w:val="20"/>
                <w:lang w:val="en-US" w:eastAsia="zh-CN"/>
              </w:rPr>
              <w:t>产品质量检验、不合格品控制、技术开发试验等相关环境因素、</w:t>
            </w:r>
            <w:r>
              <w:rPr>
                <w:rFonts w:hint="eastAsia" w:cs="宋体" w:asciiTheme="minorEastAsia" w:hAnsiTheme="minorEastAsia" w:eastAsiaTheme="minorEastAsia"/>
                <w:sz w:val="20"/>
                <w:szCs w:val="20"/>
              </w:rPr>
              <w:t>危险源辨识、风险评价和风险控制措施的确定、应急准备和响应及相应环境、职业健康安全管理体系运行过程控制；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jc w:val="center"/>
              <w:rPr>
                <w:rFonts w:hint="default" w:ascii="宋体" w:hAnsi="宋体" w:eastAsia="宋体" w:cs="Times New Roman"/>
                <w:b/>
                <w:color w:val="000000" w:themeColor="text1"/>
                <w:kern w:val="2"/>
                <w:sz w:val="21"/>
                <w:szCs w:val="21"/>
                <w:lang w:val="en-US" w:eastAsia="zh-CN" w:bidi="ar-SA"/>
              </w:rPr>
            </w:pPr>
            <w:r>
              <w:rPr>
                <w:rFonts w:hint="eastAsia" w:ascii="宋体" w:hAnsi="宋体" w:cs="Times New Roman"/>
                <w:b/>
                <w:color w:val="000000" w:themeColor="text1"/>
                <w:sz w:val="20"/>
                <w:szCs w:val="20"/>
                <w:lang w:val="en-US" w:eastAsia="zh-CN"/>
              </w:rPr>
              <w:t>生产中心</w:t>
            </w:r>
          </w:p>
        </w:tc>
        <w:tc>
          <w:tcPr>
            <w:tcW w:w="0" w:type="auto"/>
            <w:vAlign w:val="top"/>
          </w:tcPr>
          <w:p>
            <w:pPr>
              <w:rPr>
                <w:rFonts w:ascii="宋体" w:hAnsi="宋体" w:eastAsia="宋体" w:cs="Times New Roman"/>
                <w:b/>
                <w:color w:val="000000" w:themeColor="text1"/>
                <w:spacing w:val="-20"/>
                <w:kern w:val="2"/>
                <w:sz w:val="21"/>
                <w:szCs w:val="21"/>
                <w:u w:val="single"/>
                <w:lang w:val="en-US" w:eastAsia="zh-CN" w:bidi="ar-SA"/>
              </w:rPr>
            </w:pPr>
            <w:r>
              <w:rPr>
                <w:rFonts w:hint="eastAsia" w:cs="宋体" w:asciiTheme="minorEastAsia" w:hAnsiTheme="minorEastAsia" w:eastAsiaTheme="minorEastAsia"/>
                <w:sz w:val="20"/>
                <w:szCs w:val="20"/>
                <w:lang w:val="en-US" w:eastAsia="zh-CN"/>
              </w:rPr>
              <w:t>生产提供过程实施</w:t>
            </w:r>
            <w:r>
              <w:rPr>
                <w:rFonts w:hint="eastAsia" w:cs="宋体" w:asciiTheme="minorEastAsia" w:hAnsiTheme="minorEastAsia" w:eastAsiaTheme="minorEastAsia"/>
                <w:sz w:val="20"/>
                <w:szCs w:val="20"/>
              </w:rPr>
              <w:t>、</w:t>
            </w:r>
            <w:r>
              <w:rPr>
                <w:rFonts w:hint="eastAsia" w:cs="宋体" w:asciiTheme="minorEastAsia" w:hAnsiTheme="minorEastAsia" w:eastAsiaTheme="minorEastAsia"/>
                <w:sz w:val="20"/>
                <w:szCs w:val="20"/>
                <w:lang w:val="en-US" w:eastAsia="zh-CN"/>
              </w:rPr>
              <w:t>车间仓库、生产车间、动力车间、配电房等环境因素、</w:t>
            </w:r>
            <w:r>
              <w:rPr>
                <w:rFonts w:hint="eastAsia" w:cs="宋体" w:asciiTheme="minorEastAsia" w:hAnsiTheme="minorEastAsia" w:eastAsiaTheme="minorEastAsia"/>
                <w:sz w:val="20"/>
                <w:szCs w:val="20"/>
              </w:rPr>
              <w:t>危险源辨识、风险评价和风险控制措施的确定、应急准备和响应及相应环境、职业健康安全管理体系运行过程控制；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电子标签，电能计量封印</w:t>
            </w:r>
          </w:p>
        </w:tc>
        <w:tc>
          <w:tcPr>
            <w:tcW w:w="2519" w:type="dxa"/>
          </w:tcPr>
          <w:p>
            <w:pPr>
              <w:rPr>
                <w:b/>
                <w:color w:val="000000" w:themeColor="text1"/>
                <w:sz w:val="20"/>
                <w:szCs w:val="20"/>
              </w:rPr>
            </w:pPr>
          </w:p>
        </w:tc>
        <w:tc>
          <w:tcPr>
            <w:tcW w:w="1843" w:type="dxa"/>
          </w:tcPr>
          <w:p>
            <w:pPr>
              <w:rPr>
                <w:rFonts w:ascii="Times New Roman" w:hAnsi="Times New Roman" w:cs="Times New Roman"/>
                <w:sz w:val="20"/>
              </w:rPr>
            </w:pPr>
          </w:p>
        </w:tc>
        <w:tc>
          <w:tcPr>
            <w:tcW w:w="3543" w:type="dxa"/>
          </w:tcPr>
          <w:p>
            <w:pP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《电子封印委托加工规范》</w:t>
            </w:r>
          </w:p>
          <w:p>
            <w:pPr>
              <w:rPr>
                <w:rFonts w:ascii="Times New Roman" w:hAnsi="Times New Roman" w:cs="Times New Roman"/>
                <w:sz w:val="20"/>
              </w:rPr>
            </w:pPr>
            <w:r>
              <w:rPr>
                <w:rFonts w:hint="eastAsia" w:ascii="Times New Roman" w:hAnsi="Times New Roman" w:cs="Times New Roman"/>
                <w:sz w:val="20"/>
                <w:lang w:val="en-US" w:eastAsia="zh-CN"/>
              </w:rPr>
              <w:t>《电网一次设备电子标签技术规范》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13</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15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rPr>
              <w:t>公司每年根据</w:t>
            </w:r>
            <w:r>
              <w:rPr>
                <w:rFonts w:hint="eastAsia" w:cs="宋体" w:asciiTheme="minorEastAsia" w:hAnsiTheme="minorEastAsia" w:eastAsiaTheme="minorEastAsia"/>
                <w:sz w:val="20"/>
                <w:szCs w:val="20"/>
                <w:lang w:val="en-US" w:eastAsia="zh-CN"/>
              </w:rPr>
              <w:t>公司的技术能力</w:t>
            </w:r>
            <w:r>
              <w:rPr>
                <w:rFonts w:hint="eastAsia" w:cs="宋体" w:asciiTheme="minorEastAsia" w:hAnsiTheme="minorEastAsia" w:eastAsiaTheme="minorEastAsia"/>
                <w:sz w:val="20"/>
                <w:szCs w:val="20"/>
              </w:rPr>
              <w:t>、客户</w:t>
            </w:r>
            <w:r>
              <w:rPr>
                <w:rFonts w:hint="eastAsia" w:cs="宋体" w:asciiTheme="minorEastAsia" w:hAnsiTheme="minorEastAsia" w:eastAsiaTheme="minorEastAsia"/>
                <w:sz w:val="20"/>
                <w:szCs w:val="20"/>
                <w:lang w:val="en-US" w:eastAsia="zh-CN"/>
              </w:rPr>
              <w:t>需求信息</w:t>
            </w:r>
            <w:r>
              <w:rPr>
                <w:rFonts w:hint="eastAsia" w:cs="宋体" w:asciiTheme="minorEastAsia" w:hAnsiTheme="minorEastAsia" w:eastAsiaTheme="minorEastAsia"/>
                <w:sz w:val="20"/>
                <w:szCs w:val="20"/>
              </w:rPr>
              <w:t>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pStyle w:val="4"/>
              <w:ind w:firstLine="400" w:firstLineChars="20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rPr>
              <w:t>在公司运营过程中充分考虑相关方方面的期望或要求，识别的相关方有：</w:t>
            </w:r>
            <w:r>
              <w:rPr>
                <w:rFonts w:hint="eastAsia" w:asciiTheme="minorEastAsia" w:hAnsiTheme="minorEastAsia" w:eastAsiaTheme="minorEastAsia"/>
                <w:sz w:val="20"/>
                <w:szCs w:val="20"/>
              </w:rPr>
              <w:t>接收</w:t>
            </w:r>
            <w:r>
              <w:rPr>
                <w:rFonts w:hint="eastAsia" w:asciiTheme="minorEastAsia" w:hAnsiTheme="minorEastAsia" w:eastAsiaTheme="minorEastAsia"/>
                <w:sz w:val="20"/>
                <w:szCs w:val="20"/>
                <w:lang w:val="en-US" w:eastAsia="zh-CN"/>
              </w:rPr>
              <w:t>产品</w:t>
            </w:r>
            <w:r>
              <w:rPr>
                <w:rFonts w:hint="eastAsia" w:asciiTheme="minorEastAsia" w:hAnsiTheme="minorEastAsia" w:eastAsiaTheme="minorEastAsia"/>
                <w:sz w:val="20"/>
                <w:szCs w:val="20"/>
              </w:rPr>
              <w:t>的顾客；对本公司活动进行监管的政府部门，如上级单位、</w:t>
            </w:r>
            <w:r>
              <w:rPr>
                <w:rFonts w:hint="eastAsia" w:asciiTheme="minorEastAsia" w:hAnsiTheme="minorEastAsia" w:eastAsiaTheme="minorEastAsia"/>
                <w:sz w:val="20"/>
                <w:szCs w:val="20"/>
                <w:lang w:val="en-US" w:eastAsia="zh-CN"/>
              </w:rPr>
              <w:t>环境和生态管理</w:t>
            </w:r>
            <w:r>
              <w:rPr>
                <w:rFonts w:hint="eastAsia" w:asciiTheme="minorEastAsia" w:hAnsiTheme="minorEastAsia" w:eastAsiaTheme="minorEastAsia"/>
                <w:sz w:val="20"/>
                <w:szCs w:val="20"/>
              </w:rPr>
              <w:t>局</w:t>
            </w:r>
            <w:r>
              <w:rPr>
                <w:rFonts w:hint="eastAsia" w:asciiTheme="minorEastAsia" w:hAnsiTheme="minorEastAsia" w:eastAsiaTheme="minorEastAsia"/>
                <w:sz w:val="20"/>
                <w:szCs w:val="20"/>
                <w:lang w:eastAsia="zh-CN"/>
              </w:rPr>
              <w:t>、</w:t>
            </w:r>
            <w:r>
              <w:rPr>
                <w:rFonts w:hint="eastAsia" w:asciiTheme="minorEastAsia" w:hAnsiTheme="minorEastAsia" w:eastAsiaTheme="minorEastAsia"/>
                <w:sz w:val="20"/>
                <w:szCs w:val="20"/>
                <w:lang w:val="en-US" w:eastAsia="zh-CN"/>
              </w:rPr>
              <w:t>应急管理局等</w:t>
            </w:r>
            <w:r>
              <w:rPr>
                <w:rFonts w:hint="eastAsia" w:asciiTheme="minorEastAsia" w:hAnsiTheme="minorEastAsia" w:eastAsiaTheme="minorEastAsia"/>
                <w:sz w:val="20"/>
                <w:szCs w:val="20"/>
              </w:rPr>
              <w:t>；为本公司提供产品和其它支持的供方及合作伙伴；为本公司服务的员工；其他受本公司活动影响的团体或个人。</w:t>
            </w:r>
          </w:p>
          <w:p>
            <w:pPr>
              <w:ind w:firstLine="300" w:firstLineChars="15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各</w:t>
            </w:r>
            <w:r>
              <w:rPr>
                <w:rFonts w:hint="eastAsia" w:cs="宋体" w:asciiTheme="minorEastAsia" w:hAnsiTheme="minorEastAsia" w:eastAsiaTheme="minorEastAsia"/>
                <w:sz w:val="20"/>
                <w:szCs w:val="20"/>
              </w:rPr>
              <w:t xml:space="preserve">部门和相关职能部门通过日常例会、市场活动、现场拜访、产品展销会、客户调查等多种渠道和方式方法随时了解相关方的需求和期望。 </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 xml:space="preserve">与公司高管交流，内外部相关方需求分析到位。 </w:t>
            </w:r>
          </w:p>
          <w:p>
            <w:pPr>
              <w:numPr>
                <w:ilvl w:val="0"/>
                <w:numId w:val="0"/>
              </w:numPr>
              <w:spacing w:line="240" w:lineRule="exact"/>
              <w:ind w:left="0" w:leftChars="0" w:firstLine="0" w:firstLineChars="0"/>
              <w:rPr>
                <w:rFonts w:hint="eastAsia" w:ascii="Times New Roman" w:hAnsi="Times New Roman"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00" w:firstLineChars="200"/>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公司的管理方针，在管理手册中描述。</w:t>
            </w:r>
          </w:p>
          <w:p>
            <w:pPr>
              <w:ind w:firstLine="400" w:firstLineChars="200"/>
              <w:rPr>
                <w:rFonts w:ascii="Times New Roman" w:hAnsi="Times New Roman" w:eastAsia="宋体" w:cs="Times New Roman"/>
                <w:b/>
                <w:color w:val="000000" w:themeColor="text1"/>
                <w:kern w:val="2"/>
                <w:sz w:val="21"/>
                <w:szCs w:val="24"/>
                <w:lang w:val="en-US" w:eastAsia="zh-CN" w:bidi="ar-SA"/>
              </w:rPr>
            </w:pPr>
            <w:r>
              <w:rPr>
                <w:rFonts w:hint="eastAsia" w:cs="宋体" w:asciiTheme="minorEastAsia" w:hAnsiTheme="minorEastAsia" w:eastAsiaTheme="minor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ascii="宋体" w:hAnsi="Times New Roman" w:cs="Times New Roman"/>
                <w:color w:val="000000"/>
                <w:sz w:val="20"/>
                <w:szCs w:val="20"/>
                <w:lang w:val="en-US" w:eastAsia="zh-CN"/>
              </w:rPr>
            </w:pPr>
            <w:r>
              <w:rPr>
                <w:rFonts w:hint="eastAsia" w:cs="宋体" w:asciiTheme="minorEastAsia" w:hAnsiTheme="minorEastAsia" w:eastAsiaTheme="minorEastAsia"/>
                <w:bCs/>
                <w:sz w:val="20"/>
                <w:szCs w:val="20"/>
              </w:rPr>
              <w:t>公司制订环境因素识别与评价控制程序，根据办公、采购、</w:t>
            </w:r>
            <w:r>
              <w:rPr>
                <w:rFonts w:hint="eastAsia" w:cs="宋体" w:asciiTheme="minorEastAsia" w:hAnsiTheme="minorEastAsia" w:eastAsiaTheme="minorEastAsia"/>
                <w:bCs/>
                <w:sz w:val="20"/>
                <w:szCs w:val="20"/>
                <w:lang w:val="en-US" w:eastAsia="zh-CN"/>
              </w:rPr>
              <w:t>生产实施</w:t>
            </w:r>
            <w:r>
              <w:rPr>
                <w:rFonts w:hint="eastAsia" w:cs="宋体" w:asciiTheme="minorEastAsia" w:hAnsiTheme="minorEastAsia" w:eastAsiaTheme="minorEastAsia"/>
                <w:bCs/>
                <w:sz w:val="20"/>
                <w:szCs w:val="20"/>
              </w:rPr>
              <w:t>等过程及工作特点对涉及的环境</w:t>
            </w:r>
            <w:r>
              <w:rPr>
                <w:rFonts w:hint="eastAsia" w:ascii="宋体" w:hAnsi="Times New Roman" w:cs="Times New Roman"/>
                <w:color w:val="000000"/>
                <w:sz w:val="20"/>
                <w:szCs w:val="20"/>
                <w:lang w:val="en-US" w:eastAsia="zh-CN"/>
              </w:rPr>
              <w:t>因素进行了识别和辨识。</w:t>
            </w:r>
          </w:p>
          <w:p>
            <w:pPr>
              <w:spacing w:line="300" w:lineRule="exact"/>
              <w:rPr>
                <w:rFonts w:hint="default" w:ascii="宋体" w:hAnsi="Times New Roman" w:cs="Times New Roman"/>
                <w:color w:val="000000"/>
                <w:sz w:val="20"/>
                <w:szCs w:val="20"/>
                <w:lang w:val="en-US" w:eastAsia="zh-CN"/>
              </w:rPr>
            </w:pPr>
            <w:r>
              <w:rPr>
                <w:rFonts w:hint="eastAsia" w:ascii="宋体" w:hAnsi="Times New Roman" w:cs="Times New Roman"/>
                <w:color w:val="000000"/>
                <w:sz w:val="20"/>
                <w:szCs w:val="20"/>
                <w:lang w:val="en-US" w:eastAsia="zh-CN"/>
              </w:rPr>
              <w:t>重要环境因素：</w:t>
            </w:r>
          </w:p>
          <w:p>
            <w:pPr>
              <w:spacing w:line="300" w:lineRule="exact"/>
              <w:rPr>
                <w:rFonts w:hint="eastAsia" w:ascii="宋体" w:hAnsi="Times New Roman" w:cs="Times New Roman"/>
                <w:color w:val="000000"/>
                <w:sz w:val="20"/>
                <w:szCs w:val="20"/>
                <w:lang w:val="en-US" w:eastAsia="zh-CN"/>
              </w:rPr>
            </w:pPr>
            <w:r>
              <w:rPr>
                <w:rFonts w:hint="eastAsia" w:ascii="宋体" w:hAnsi="Times New Roman" w:cs="Times New Roman"/>
                <w:color w:val="000000"/>
                <w:sz w:val="20"/>
                <w:szCs w:val="20"/>
                <w:lang w:val="en-US" w:eastAsia="zh-CN"/>
              </w:rPr>
              <w:t>噪声、办公及生产固废、潜在火灾事故、生活污水排放、资源的消耗。</w:t>
            </w:r>
          </w:p>
          <w:p>
            <w:pPr>
              <w:spacing w:line="30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00" w:firstLineChars="200"/>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公司制订危险源辩识风险评价控制程序，根据办公、采购、</w:t>
            </w:r>
            <w:r>
              <w:rPr>
                <w:rFonts w:hint="eastAsia" w:cs="宋体" w:asciiTheme="minorEastAsia" w:hAnsiTheme="minorEastAsia" w:eastAsiaTheme="minorEastAsia"/>
                <w:bCs/>
                <w:sz w:val="20"/>
                <w:szCs w:val="20"/>
                <w:lang w:val="en-US" w:eastAsia="zh-CN"/>
              </w:rPr>
              <w:t>生产实施</w:t>
            </w:r>
            <w:r>
              <w:rPr>
                <w:rFonts w:hint="eastAsia" w:cs="宋体" w:asciiTheme="minorEastAsia" w:hAnsiTheme="minorEastAsia" w:eastAsiaTheme="minorEastAsia"/>
                <w:bCs/>
                <w:sz w:val="20"/>
                <w:szCs w:val="20"/>
              </w:rPr>
              <w:t>等过程及工作特点对涉及的环境因素进行了识别和辨识。</w:t>
            </w:r>
          </w:p>
          <w:p>
            <w:pPr>
              <w:ind w:firstLine="400" w:firstLineChars="200"/>
              <w:rPr>
                <w:rFonts w:cs="宋体" w:asciiTheme="minorEastAsia" w:hAnsiTheme="minorEastAsia" w:eastAsiaTheme="minorEastAsia"/>
                <w:bCs/>
                <w:sz w:val="20"/>
                <w:szCs w:val="20"/>
              </w:rPr>
            </w:pPr>
          </w:p>
          <w:p>
            <w:pPr>
              <w:spacing w:line="300" w:lineRule="exact"/>
              <w:rPr>
                <w:rFonts w:hint="eastAsia" w:ascii="宋体" w:hAnsi="宋体" w:eastAsia="宋体" w:cs="Times New Roman"/>
                <w:b/>
                <w:color w:val="000000" w:themeColor="text1"/>
                <w:spacing w:val="-8"/>
                <w:kern w:val="2"/>
                <w:sz w:val="20"/>
                <w:szCs w:val="20"/>
                <w:lang w:val="en-US" w:eastAsia="zh-CN" w:bidi="ar-SA"/>
              </w:rPr>
            </w:pPr>
            <w:r>
              <w:rPr>
                <w:rFonts w:hint="eastAsia" w:cs="宋体" w:asciiTheme="minorEastAsia" w:hAnsiTheme="minorEastAsia" w:eastAsiaTheme="minorEastAsia"/>
                <w:bCs/>
                <w:sz w:val="20"/>
                <w:szCs w:val="20"/>
              </w:rPr>
              <w:t>不可接受风险主要有：（噪声）职业病伤害</w:t>
            </w:r>
            <w:r>
              <w:rPr>
                <w:rFonts w:hint="eastAsia" w:cs="宋体" w:asciiTheme="minorEastAsia" w:hAnsiTheme="minorEastAsia" w:eastAsiaTheme="minorEastAsia"/>
                <w:bCs/>
                <w:sz w:val="20"/>
                <w:szCs w:val="20"/>
                <w:lang w:eastAsia="zh-CN"/>
              </w:rPr>
              <w:t>、</w:t>
            </w:r>
            <w:r>
              <w:rPr>
                <w:rFonts w:hint="eastAsia" w:cs="宋体" w:asciiTheme="minorEastAsia" w:hAnsiTheme="minorEastAsia" w:eastAsiaTheme="minorEastAsia"/>
                <w:bCs/>
                <w:sz w:val="20"/>
                <w:szCs w:val="20"/>
              </w:rPr>
              <w:t>引起人员机械伤害</w:t>
            </w:r>
            <w:r>
              <w:rPr>
                <w:rFonts w:hint="eastAsia" w:cs="宋体" w:asciiTheme="minorEastAsia" w:hAnsiTheme="minorEastAsia" w:eastAsiaTheme="minorEastAsia"/>
                <w:bCs/>
                <w:sz w:val="20"/>
                <w:szCs w:val="20"/>
                <w:lang w:eastAsia="zh-CN"/>
              </w:rPr>
              <w:t>、</w:t>
            </w:r>
            <w:r>
              <w:rPr>
                <w:rFonts w:hint="eastAsia" w:cs="宋体" w:asciiTheme="minorEastAsia" w:hAnsiTheme="minorEastAsia" w:eastAsiaTheme="minorEastAsia"/>
                <w:bCs/>
                <w:sz w:val="20"/>
                <w:szCs w:val="20"/>
              </w:rPr>
              <w:t>出现明火引起的火灾</w:t>
            </w:r>
            <w:r>
              <w:rPr>
                <w:rFonts w:hint="eastAsia" w:cs="宋体" w:asciiTheme="minorEastAsia" w:hAnsiTheme="minorEastAsia" w:eastAsiaTheme="minorEastAsia"/>
                <w:bCs/>
                <w:sz w:val="20"/>
                <w:szCs w:val="20"/>
                <w:lang w:eastAsia="zh-CN"/>
              </w:rPr>
              <w:t>、</w:t>
            </w:r>
            <w:r>
              <w:rPr>
                <w:rFonts w:hint="eastAsia" w:cs="宋体" w:asciiTheme="minorEastAsia" w:hAnsiTheme="minorEastAsia" w:eastAsiaTheme="minorEastAsia"/>
                <w:bCs/>
                <w:sz w:val="20"/>
                <w:szCs w:val="20"/>
                <w:lang w:val="en-US" w:eastAsia="zh-CN"/>
              </w:rPr>
              <w:t>触电等</w:t>
            </w:r>
            <w:r>
              <w:rPr>
                <w:rFonts w:hint="eastAsia" w:cs="宋体" w:asciiTheme="minorEastAsia" w:hAnsiTheme="minorEastAsia" w:eastAsiaTheme="minorEastAsia"/>
                <w:bCs/>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A3"/>
            </w:r>
            <w:r>
              <w:rPr>
                <w:rFonts w:hint="eastAsia" w:ascii="宋体" w:hAnsi="宋体"/>
                <w:b/>
                <w:color w:val="000000" w:themeColor="text1"/>
                <w:szCs w:val="21"/>
              </w:rPr>
              <w:t>法律法规获取充分，</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法律法规获取有遗漏，缺少</w:t>
            </w:r>
            <w:r>
              <w:rPr>
                <w:rFonts w:hint="eastAsia" w:ascii="宋体" w:hAnsi="宋体"/>
                <w:b/>
                <w:color w:val="000000" w:themeColor="text1"/>
                <w:szCs w:val="21"/>
                <w:lang w:val="en-US" w:eastAsia="zh-CN"/>
              </w:rPr>
              <w:t>项开出不符合项。</w:t>
            </w:r>
          </w:p>
          <w:p>
            <w:pPr>
              <w:tabs>
                <w:tab w:val="left" w:pos="540"/>
              </w:tabs>
              <w:spacing w:line="300" w:lineRule="exact"/>
              <w:ind w:left="1" w:leftChars="-43" w:hanging="91" w:hangingChars="43"/>
              <w:rPr>
                <w:rFonts w:ascii="宋体" w:hAnsi="宋体"/>
                <w:b/>
                <w:color w:val="000000" w:themeColor="text1"/>
                <w:szCs w:val="21"/>
                <w:u w:val="single"/>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A3"/>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会议、微信群、文件等；</w:t>
            </w: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Times New Roman" w:hAnsi="Times New Roman" w:eastAsia="宋体" w:cs="Times New Roman"/>
                <w:b/>
                <w:color w:val="000000" w:themeColor="text1"/>
                <w:kern w:val="2"/>
                <w:sz w:val="14"/>
                <w:szCs w:val="1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查有公司级管理目标，并按照部门对目标进行分解，有目标管理管理规定，规定了目标的分解及考核的具体方法。</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与方针一致，符合公司总的环境、职业健康安全目标，进行了统计及目标实现分析，经查，达成目标，并将管理目标完成情况在公司会议上进行通报。</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提供《目标指标和管理方案》《目标指标和管理方案考核表》</w:t>
            </w:r>
          </w:p>
          <w:p>
            <w:pPr>
              <w:spacing w:line="240" w:lineRule="exact"/>
              <w:rPr>
                <w:rFonts w:ascii="宋体" w:hAnsi="宋体" w:eastAsia="宋体" w:cs="Times New Roman"/>
                <w:b/>
                <w:color w:val="000000" w:themeColor="text1"/>
                <w:kern w:val="2"/>
                <w:sz w:val="21"/>
                <w:szCs w:val="24"/>
                <w:lang w:val="en-US" w:eastAsia="zh-CN" w:bidi="ar-SA"/>
              </w:rPr>
            </w:pPr>
            <w:r>
              <w:rPr>
                <w:rFonts w:hint="eastAsia" w:cs="宋体" w:asciiTheme="minorEastAsia" w:hAnsiTheme="minorEastAsia" w:eastAsiaTheme="minorEastAsia"/>
                <w:szCs w:val="21"/>
              </w:rPr>
              <w:t>以上目标指标均已完成，管理方案规定了措施方法、完成时间表、责任人、资金等情况。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20" w:firstLineChars="200"/>
              <w:rPr>
                <w:rFonts w:asciiTheme="minorEastAsia" w:hAnsiTheme="minorEastAsia" w:eastAsiaTheme="minorEastAsia"/>
              </w:rPr>
            </w:pPr>
            <w:r>
              <w:rPr>
                <w:rFonts w:hint="eastAsia" w:asciiTheme="minorEastAsia" w:hAnsiTheme="minorEastAsia" w:eastAsiaTheme="minorEastAsia"/>
              </w:rPr>
              <w:t>编制了《文件控制程序》，用于对管理体系文件，符合标准要求。</w:t>
            </w:r>
          </w:p>
          <w:p>
            <w:pPr>
              <w:ind w:firstLine="420" w:firstLineChars="200"/>
              <w:rPr>
                <w:rFonts w:asciiTheme="minorEastAsia" w:hAnsiTheme="minorEastAsia" w:eastAsiaTheme="minorEastAsia"/>
              </w:rPr>
            </w:pPr>
            <w:r>
              <w:rPr>
                <w:rFonts w:hint="eastAsia" w:asciiTheme="minorEastAsia" w:hAnsiTheme="minorEastAsia" w:eastAsiaTheme="minorEastAsia"/>
              </w:rPr>
              <w:t>查办公室管理手册、管理制度等文件均保管良好，为有效版本，有受控标识。</w:t>
            </w:r>
          </w:p>
          <w:p>
            <w:pPr>
              <w:ind w:firstLine="420" w:firstLineChars="200"/>
              <w:rPr>
                <w:rFonts w:asciiTheme="minorEastAsia" w:hAnsiTheme="minorEastAsia" w:eastAsiaTheme="minorEastAsia"/>
              </w:rPr>
            </w:pPr>
            <w:r>
              <w:rPr>
                <w:rFonts w:hint="eastAsia" w:asciiTheme="minorEastAsia" w:hAnsiTheme="minorEastAsia" w:eastAsiaTheme="minorEastAsia"/>
              </w:rPr>
              <w:t>办公室负责收集有关产品的国家标准、行业标准的最新版本，分发到相关部门使用；收回旧标准。</w:t>
            </w:r>
          </w:p>
          <w:p>
            <w:pPr>
              <w:ind w:firstLine="420" w:firstLineChars="200"/>
              <w:rPr>
                <w:rFonts w:asciiTheme="minorEastAsia" w:hAnsiTheme="minorEastAsia" w:eastAsiaTheme="minorEastAsia"/>
              </w:rPr>
            </w:pPr>
            <w:r>
              <w:rPr>
                <w:rFonts w:hint="eastAsia" w:asciiTheme="minorEastAsia" w:hAnsiTheme="minorEastAsia" w:eastAsiaTheme="minorEastAsia"/>
              </w:rPr>
              <w:t>查见《法律法规清单》，内容包括：序号、文件名称、编号、版本等，收集基本全面，基本符合。</w:t>
            </w:r>
          </w:p>
          <w:p>
            <w:pPr>
              <w:rPr>
                <w:rFonts w:asciiTheme="minorEastAsia" w:hAnsiTheme="minorEastAsia" w:eastAsiaTheme="minorEastAsia"/>
              </w:rPr>
            </w:pPr>
            <w:r>
              <w:rPr>
                <w:rFonts w:hint="eastAsia" w:asciiTheme="minorEastAsia" w:hAnsiTheme="minorEastAsia" w:eastAsiaTheme="minorEastAsia"/>
              </w:rPr>
              <w:t>以上外来文件保管良好，均为有效版本。</w:t>
            </w:r>
          </w:p>
          <w:p>
            <w:pPr>
              <w:ind w:firstLine="420" w:firstLineChars="200"/>
              <w:rPr>
                <w:rFonts w:asciiTheme="minorEastAsia" w:hAnsiTheme="minorEastAsia" w:eastAsiaTheme="minorEastAsia"/>
              </w:rPr>
            </w:pPr>
            <w:r>
              <w:rPr>
                <w:rFonts w:hint="eastAsia" w:asciiTheme="minorEastAsia" w:hAnsiTheme="minorEastAsia" w:eastAsiaTheme="minorEastAsia"/>
              </w:rPr>
              <w:t>查见《记录清单》，内容包括：序号、记录名称、编号、保存期、使用部门等。</w:t>
            </w:r>
          </w:p>
          <w:p>
            <w:pPr>
              <w:tabs>
                <w:tab w:val="left" w:pos="540"/>
              </w:tabs>
              <w:spacing w:line="240" w:lineRule="exact"/>
              <w:rPr>
                <w:rFonts w:ascii="宋体" w:hAnsi="宋体" w:eastAsia="宋体" w:cs="Times New Roman"/>
                <w:b/>
                <w:color w:val="000000" w:themeColor="text1"/>
                <w:kern w:val="2"/>
                <w:sz w:val="20"/>
                <w:szCs w:val="20"/>
                <w:lang w:val="en-US" w:eastAsia="zh-CN" w:bidi="ar-SA"/>
              </w:rPr>
            </w:pPr>
            <w:r>
              <w:rPr>
                <w:rFonts w:hint="eastAsia" w:asciiTheme="minorEastAsia" w:hAnsiTheme="minorEastAsia" w:eastAsiaTheme="minorEastAsia"/>
              </w:rPr>
              <w:t>各部门保存各记录，按时间整理，放置在文件柜中，以便检索，目前保存完好。名称，编号构成记录的唯一性标识。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Cs w:val="21"/>
              </w:rPr>
              <w:t>上岗前经过岗前培训，</w:t>
            </w:r>
            <w:r>
              <w:rPr>
                <w:rFonts w:hint="eastAsia" w:cs="宋体" w:asciiTheme="minorEastAsia" w:hAnsiTheme="minorEastAsia" w:eastAsiaTheme="minorEastAsia"/>
                <w:szCs w:val="21"/>
                <w:lang w:val="en-US" w:eastAsia="zh-CN"/>
              </w:rPr>
              <w:t>采购和销售</w:t>
            </w:r>
            <w:r>
              <w:rPr>
                <w:rFonts w:hint="eastAsia" w:cs="宋体" w:asciiTheme="minorEastAsia" w:hAnsiTheme="minorEastAsia" w:eastAsiaTheme="minorEastAsia"/>
                <w:szCs w:val="21"/>
              </w:rPr>
              <w:t>人员</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质检技术</w:t>
            </w:r>
            <w:r>
              <w:rPr>
                <w:rFonts w:hint="eastAsia" w:cs="宋体" w:asciiTheme="minorEastAsia" w:hAnsiTheme="minorEastAsia" w:eastAsiaTheme="minorEastAsia"/>
                <w:szCs w:val="21"/>
              </w:rPr>
              <w:t>人员</w:t>
            </w:r>
            <w:r>
              <w:rPr>
                <w:rFonts w:hint="eastAsia" w:cs="宋体" w:asciiTheme="minorEastAsia" w:hAnsiTheme="minorEastAsia" w:eastAsiaTheme="minorEastAsia"/>
                <w:szCs w:val="21"/>
                <w:lang w:val="en-US" w:eastAsia="zh-CN"/>
              </w:rPr>
              <w:t>和生产人员</w:t>
            </w:r>
            <w:r>
              <w:rPr>
                <w:rFonts w:hint="eastAsia" w:cs="宋体" w:asciiTheme="minorEastAsia" w:hAnsiTheme="minorEastAsia" w:eastAsiaTheme="minorEastAsia"/>
                <w:szCs w:val="21"/>
              </w:rPr>
              <w:t>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冲压机、注塑机（封塑）、封塑自动检测系统、1.5T行车、配电和空压机等；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hint="default" w:ascii="宋体" w:hAnsi="宋体"/>
                <w:b/>
                <w:color w:val="000000" w:themeColor="text1"/>
                <w:sz w:val="20"/>
                <w:szCs w:val="20"/>
                <w:lang w:val="en-US"/>
              </w:rPr>
            </w:pPr>
            <w:r>
              <w:rPr>
                <w:rFonts w:hint="eastAsia" w:ascii="宋体" w:hAnsi="宋体"/>
                <w:b/>
                <w:color w:val="000000" w:themeColor="text1"/>
                <w:sz w:val="20"/>
                <w:szCs w:val="20"/>
                <w:lang w:val="en-US" w:eastAsia="zh-CN"/>
              </w:rPr>
              <w:t>基本满足生产</w:t>
            </w:r>
            <w:r>
              <w:rPr>
                <w:rFonts w:hint="eastAsia" w:ascii="宋体" w:hAnsi="宋体" w:cs="Times New Roman"/>
                <w:b/>
                <w:color w:val="000000" w:themeColor="text1"/>
                <w:sz w:val="20"/>
                <w:szCs w:val="20"/>
                <w:lang w:val="en-US" w:eastAsia="zh-CN"/>
              </w:rPr>
              <w:t>需要；设备维护保养降低运行噪声；注塑回料资源回收处理；车间内无噪声告知信息；配电房配置灭火器、绝缘工具（绝缘棒、绝缘手套等）；空压房储气罐压力表和安全阀经检定；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 xml:space="preserve">   未配置环境和安全监测的测量设备；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ind w:firstLine="402" w:firstLineChars="200"/>
              <w:rPr>
                <w:rFonts w:hint="default" w:ascii="宋体" w:hAnsi="宋体" w:eastAsia="宋体" w:cs="Times New Roman"/>
                <w:b/>
                <w:color w:val="000000" w:themeColor="text1"/>
                <w:kern w:val="2"/>
                <w:sz w:val="20"/>
                <w:szCs w:val="20"/>
                <w:lang w:val="en-US" w:eastAsia="zh-CN" w:bidi="ar-SA"/>
              </w:rPr>
            </w:pPr>
            <w:r>
              <w:rPr>
                <w:rFonts w:hint="eastAsia" w:ascii="宋体" w:hAnsi="宋体" w:cs="Times New Roman"/>
                <w:b/>
                <w:color w:val="000000" w:themeColor="text1"/>
                <w:sz w:val="20"/>
                <w:szCs w:val="20"/>
                <w:lang w:val="en-US" w:eastAsia="zh-CN"/>
              </w:rPr>
              <w:t>车间设置排气风扇</w:t>
            </w: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ind w:firstLine="402" w:firstLineChars="200"/>
              <w:rPr>
                <w:rFonts w:hint="eastAsia" w:ascii="宋体" w:hAnsi="宋体" w:eastAsia="宋体" w:cs="Times New Roman"/>
                <w:b/>
                <w:color w:val="000000" w:themeColor="text1"/>
                <w:kern w:val="2"/>
                <w:sz w:val="20"/>
                <w:szCs w:val="20"/>
                <w:lang w:val="en-US" w:eastAsia="zh-CN" w:bidi="ar-SA"/>
              </w:rPr>
            </w:pPr>
            <w:r>
              <w:rPr>
                <w:rFonts w:hint="eastAsia" w:ascii="宋体" w:hAnsi="宋体" w:cs="Times New Roman"/>
                <w:b/>
                <w:color w:val="000000" w:themeColor="text1"/>
                <w:sz w:val="20"/>
                <w:szCs w:val="20"/>
                <w:lang w:val="en-US" w:eastAsia="zh-CN"/>
              </w:rPr>
              <w:t>办公和生产区域有消防器材、安全标识牌等。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 xml:space="preserve">  </w:t>
            </w:r>
            <w:r>
              <w:rPr>
                <w:rFonts w:hint="eastAsia" w:asciiTheme="minorEastAsia" w:hAnsiTheme="minorEastAsia" w:eastAsiaTheme="minorEastAsia"/>
                <w:szCs w:val="22"/>
              </w:rPr>
              <w:t>根据组织宗旨制定了管理体系方针，进行了有效沟通，在管理评审时进行评审，符合要求</w:t>
            </w:r>
            <w:r>
              <w:rPr>
                <w:rFonts w:hint="eastAsia" w:asciiTheme="minorEastAsia" w:hAnsiTheme="minorEastAsia" w:eastAsia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总经理负责在公司建立畅通的沟通渠道。管理者代表是公司内部和外部信息交流和沟通的负责人。</w:t>
            </w:r>
            <w:r>
              <w:rPr>
                <w:rFonts w:hint="eastAsia" w:cs="宋体" w:asciiTheme="minorEastAsia" w:hAnsiTheme="minorEastAsia" w:eastAsiaTheme="minorEastAsia"/>
                <w:szCs w:val="21"/>
                <w:lang w:eastAsia="zh-CN"/>
              </w:rPr>
              <w:t>行政中心</w:t>
            </w:r>
            <w:r>
              <w:rPr>
                <w:rFonts w:hint="eastAsia" w:cs="宋体" w:asciiTheme="minorEastAsia" w:hAnsiTheme="minorEastAsia" w:eastAsiaTheme="minorEastAsia"/>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目前各项沟通都较为及时、顺畅、效果较好。</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经全体员工大会选举，任命公司</w:t>
            </w:r>
            <w:r>
              <w:rPr>
                <w:rFonts w:hint="eastAsia" w:cs="宋体" w:asciiTheme="minorEastAsia" w:hAnsiTheme="minorEastAsia" w:eastAsiaTheme="minorEastAsia"/>
                <w:szCs w:val="21"/>
                <w:lang w:val="en-US" w:eastAsia="zh-CN"/>
              </w:rPr>
              <w:t>孟提</w:t>
            </w:r>
            <w:r>
              <w:rPr>
                <w:rFonts w:hint="eastAsia" w:cs="宋体" w:asciiTheme="minorEastAsia" w:hAnsiTheme="minorEastAsia" w:eastAsiaTheme="minorEastAsia"/>
                <w:szCs w:val="21"/>
              </w:rPr>
              <w:t>为公司安全事务</w:t>
            </w:r>
            <w:r>
              <w:rPr>
                <w:rFonts w:hint="eastAsia" w:cs="宋体" w:asciiTheme="minorEastAsia" w:hAnsiTheme="minorEastAsia" w:eastAsiaTheme="minorEastAsia"/>
                <w:szCs w:val="21"/>
                <w:lang w:val="en-US" w:eastAsia="zh-CN"/>
              </w:rPr>
              <w:t>员工</w:t>
            </w:r>
            <w:r>
              <w:rPr>
                <w:rFonts w:hint="eastAsia" w:cs="宋体" w:asciiTheme="minorEastAsia" w:hAnsiTheme="minorEastAsia" w:eastAsiaTheme="minorEastAsia"/>
                <w:szCs w:val="21"/>
              </w:rPr>
              <w:t>代表。经与</w:t>
            </w:r>
            <w:r>
              <w:rPr>
                <w:rFonts w:hint="eastAsia" w:cs="宋体" w:asciiTheme="minorEastAsia" w:hAnsiTheme="minorEastAsia" w:eastAsiaTheme="minorEastAsia"/>
                <w:szCs w:val="21"/>
                <w:lang w:val="en-US" w:eastAsia="zh-CN"/>
              </w:rPr>
              <w:t>孟提</w:t>
            </w:r>
            <w:r>
              <w:rPr>
                <w:rFonts w:hint="eastAsia" w:cs="宋体" w:asciiTheme="minorEastAsia" w:hAnsiTheme="minorEastAsia" w:eastAsiaTheme="minorEastAsia"/>
                <w:szCs w:val="21"/>
              </w:rPr>
              <w:t>交谈</w:t>
            </w:r>
            <w:r>
              <w:rPr>
                <w:rFonts w:hint="eastAsia" w:cs="宋体" w:asciiTheme="minorEastAsia" w:hAnsiTheme="minorEastAsia" w:eastAsiaTheme="minorEastAsia"/>
                <w:szCs w:val="21"/>
                <w:lang w:val="en-GB"/>
              </w:rPr>
              <w:t>，</w:t>
            </w:r>
            <w:r>
              <w:rPr>
                <w:rFonts w:hint="eastAsia" w:cs="宋体" w:asciiTheme="minorEastAsia" w:hAnsiTheme="minorEastAsia" w:eastAsiaTheme="minor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Theme="minorEastAsia" w:hAnsiTheme="minorEastAsia" w:eastAsiaTheme="minorEastAsia"/>
                <w:b/>
                <w:color w:val="000000"/>
                <w:sz w:val="20"/>
                <w:szCs w:val="20"/>
              </w:rPr>
            </w:pPr>
            <w:r>
              <w:rPr>
                <w:rFonts w:hint="eastAsia" w:cs="宋体" w:asciiTheme="minorEastAsia" w:hAnsiTheme="minorEastAsia" w:eastAsiaTheme="minorEastAsia"/>
                <w:szCs w:val="21"/>
              </w:rPr>
              <w:t>通过安全事务代表的积极争取，员工的劳保用品得到合理配备并及时发放；员工保险得到按时交纳等。</w:t>
            </w:r>
          </w:p>
          <w:p>
            <w:pPr>
              <w:spacing w:line="240" w:lineRule="exact"/>
              <w:rPr>
                <w:rFonts w:ascii="楷体_GB2312" w:hAnsi="Times New Roman" w:eastAsia="楷体_GB2312"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ascii="Times New Roman" w:hAnsi="Times New Roman" w:cs="Times New Roman"/>
                <w:b/>
                <w:color w:val="000000" w:themeColor="text1"/>
                <w:sz w:val="20"/>
                <w:szCs w:val="20"/>
                <w:lang w:val="en-US" w:eastAsia="zh-CN"/>
              </w:rPr>
            </w:pPr>
          </w:p>
          <w:p>
            <w:pPr>
              <w:spacing w:line="240" w:lineRule="exact"/>
              <w:ind w:firstLine="402" w:firstLineChars="200"/>
              <w:rPr>
                <w:rFonts w:hint="default" w:ascii="Times New Roman" w:hAnsi="Times New Roman" w:cs="Times New Roman"/>
                <w:b/>
                <w:color w:val="000000" w:themeColor="text1"/>
                <w:sz w:val="20"/>
                <w:szCs w:val="20"/>
                <w:lang w:val="en-US" w:eastAsia="zh-CN"/>
              </w:rPr>
            </w:pPr>
            <w:r>
              <w:rPr>
                <w:rFonts w:hint="eastAsia" w:ascii="Times New Roman" w:hAnsi="Times New Roman" w:cs="Times New Roman"/>
                <w:b/>
                <w:color w:val="000000" w:themeColor="text1"/>
                <w:sz w:val="20"/>
                <w:szCs w:val="20"/>
                <w:lang w:val="en-US" w:eastAsia="zh-CN"/>
              </w:rPr>
              <w:t>对注塑车间的废气排放</w:t>
            </w:r>
            <w:r>
              <w:rPr>
                <w:rFonts w:hint="eastAsia" w:ascii="Times New Roman" w:hAnsi="Times New Roman" w:cs="Times New Roman"/>
                <w:b/>
                <w:color w:val="000000" w:themeColor="text1"/>
                <w:sz w:val="20"/>
                <w:szCs w:val="20"/>
              </w:rPr>
              <w:t>；</w:t>
            </w:r>
            <w:r>
              <w:rPr>
                <w:rFonts w:hint="eastAsia" w:ascii="Times New Roman" w:hAnsi="Times New Roman" w:cs="Times New Roman"/>
                <w:b/>
                <w:color w:val="000000" w:themeColor="text1"/>
                <w:sz w:val="20"/>
                <w:szCs w:val="20"/>
                <w:lang w:val="en-US" w:eastAsia="zh-CN"/>
              </w:rPr>
              <w:t>车间噪声；</w:t>
            </w:r>
            <w:r>
              <w:rPr>
                <w:rFonts w:hint="eastAsia" w:ascii="Times New Roman" w:hAnsi="Times New Roman" w:cs="Times New Roman"/>
                <w:b/>
                <w:color w:val="000000" w:themeColor="text1"/>
                <w:sz w:val="20"/>
                <w:szCs w:val="20"/>
              </w:rPr>
              <w:t>用电超出负荷、线路老化等</w:t>
            </w:r>
            <w:r>
              <w:rPr>
                <w:rFonts w:hint="eastAsia" w:ascii="Times New Roman" w:hAnsi="Times New Roman" w:cs="Times New Roman"/>
                <w:b/>
                <w:color w:val="000000" w:themeColor="text1"/>
                <w:sz w:val="20"/>
                <w:szCs w:val="20"/>
                <w:lang w:val="en-US" w:eastAsia="zh-CN"/>
              </w:rPr>
              <w:t>引起的火灾等重要环境因素控制结果，从噪声和废气的监测报告来看，均达标排放。控制基本有效。</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Times New Roman" w:hAnsi="Times New Roman" w:cs="Times New Roman"/>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firstLine="402" w:firstLineChars="200"/>
              <w:rPr>
                <w:rFonts w:hint="eastAsia" w:ascii="Times New Roman" w:hAnsi="Times New Roman" w:eastAsia="宋体" w:cs="Times New Roman"/>
                <w:b/>
                <w:color w:val="000000" w:themeColor="text1"/>
                <w:sz w:val="20"/>
                <w:szCs w:val="20"/>
                <w:lang w:val="en-US" w:eastAsia="zh-CN"/>
              </w:rPr>
            </w:pPr>
            <w:r>
              <w:rPr>
                <w:rFonts w:hint="eastAsia" w:ascii="Times New Roman" w:hAnsi="Times New Roman" w:eastAsia="宋体" w:cs="Times New Roman"/>
                <w:b/>
                <w:color w:val="000000" w:themeColor="text1"/>
                <w:sz w:val="20"/>
                <w:szCs w:val="20"/>
                <w:lang w:val="en-US" w:eastAsia="zh-CN"/>
              </w:rPr>
              <w:t>OHSMS组织对不可接受风险实施控制的结果</w:t>
            </w:r>
          </w:p>
          <w:p>
            <w:pPr>
              <w:spacing w:line="240" w:lineRule="exact"/>
              <w:ind w:firstLine="402" w:firstLineChars="200"/>
              <w:rPr>
                <w:rFonts w:hint="eastAsia" w:ascii="Times New Roman" w:hAnsi="Times New Roman" w:eastAsia="宋体" w:cs="Times New Roman"/>
                <w:b/>
                <w:color w:val="000000" w:themeColor="text1"/>
                <w:sz w:val="20"/>
                <w:szCs w:val="20"/>
                <w:lang w:val="en-US" w:eastAsia="zh-CN"/>
              </w:rPr>
            </w:pPr>
          </w:p>
          <w:p>
            <w:pPr>
              <w:spacing w:line="240" w:lineRule="exact"/>
              <w:ind w:firstLine="402" w:firstLineChars="200"/>
              <w:rPr>
                <w:rFonts w:hint="eastAsia" w:ascii="Times New Roman" w:hAnsi="Times New Roman" w:eastAsia="宋体" w:cs="Times New Roman"/>
                <w:b/>
                <w:color w:val="000000" w:themeColor="text1"/>
                <w:sz w:val="20"/>
                <w:szCs w:val="20"/>
                <w:lang w:val="en-US" w:eastAsia="zh-CN"/>
              </w:rPr>
            </w:pPr>
            <w:r>
              <w:rPr>
                <w:rFonts w:hint="eastAsia" w:ascii="Times New Roman" w:hAnsi="Times New Roman" w:eastAsia="宋体" w:cs="Times New Roman"/>
                <w:b/>
                <w:color w:val="000000" w:themeColor="text1"/>
                <w:sz w:val="20"/>
                <w:szCs w:val="20"/>
                <w:lang w:val="en-US" w:eastAsia="zh-CN"/>
              </w:rPr>
              <w:t>车间物理危害因子：噪声、化学危害因子：ABS粉尘、触电、机械人员伤亡等不可接受风险控制，从提供的人员体检报告情况来看，均无大的职业疾病。审核日提供物理危害因子（噪声)和化学危害因子(粉尘）的检测报告。审核未收到相关人员重大安全伤害信息。</w:t>
            </w:r>
          </w:p>
          <w:p>
            <w:pPr>
              <w:spacing w:line="240" w:lineRule="exact"/>
              <w:ind w:firstLine="402" w:firstLineChars="200"/>
              <w:rPr>
                <w:rFonts w:hint="default" w:ascii="Times New Roman" w:hAnsi="Times New Roman" w:eastAsia="宋体" w:cs="Times New Roman"/>
                <w:b/>
                <w:color w:val="000000" w:themeColor="text1"/>
                <w:sz w:val="20"/>
                <w:szCs w:val="20"/>
                <w:lang w:val="en-US" w:eastAsia="zh-CN"/>
              </w:rPr>
            </w:pPr>
            <w:r>
              <w:rPr>
                <w:rFonts w:hint="eastAsia" w:ascii="Times New Roman" w:hAnsi="Times New Roman" w:eastAsia="宋体" w:cs="Times New Roman"/>
                <w:b/>
                <w:color w:val="000000" w:themeColor="text1"/>
                <w:sz w:val="20"/>
                <w:szCs w:val="20"/>
                <w:lang w:val="en-US" w:eastAsia="zh-CN"/>
              </w:rPr>
              <w:t>车间内噪声的告知信息缺失，开了了不符合项。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pStyle w:val="20"/>
              <w:spacing w:line="280" w:lineRule="exact"/>
              <w:rPr>
                <w:sz w:val="21"/>
                <w:szCs w:val="21"/>
              </w:rPr>
            </w:pPr>
            <w:r>
              <w:rPr>
                <w:rFonts w:hint="eastAsia"/>
                <w:sz w:val="21"/>
                <w:szCs w:val="21"/>
              </w:rPr>
              <w:t>编制了《应急准备和响应管理程序》，查看内容基本符合要求。</w:t>
            </w:r>
          </w:p>
          <w:p>
            <w:pPr>
              <w:pStyle w:val="20"/>
              <w:spacing w:line="280" w:lineRule="exact"/>
              <w:ind w:firstLineChars="0"/>
              <w:rPr>
                <w:sz w:val="21"/>
                <w:szCs w:val="21"/>
              </w:rPr>
            </w:pPr>
            <w:r>
              <w:rPr>
                <w:rFonts w:hint="eastAsia"/>
                <w:sz w:val="21"/>
                <w:szCs w:val="21"/>
              </w:rPr>
              <w:t>策划了应急预案包括触电、火灾、中暑、台风等应急预案。</w:t>
            </w:r>
          </w:p>
          <w:p>
            <w:pPr>
              <w:pStyle w:val="20"/>
              <w:spacing w:line="280" w:lineRule="exact"/>
              <w:ind w:firstLineChars="0"/>
              <w:rPr>
                <w:sz w:val="21"/>
                <w:szCs w:val="21"/>
              </w:rPr>
            </w:pPr>
            <w:r>
              <w:rPr>
                <w:rFonts w:hint="eastAsia"/>
                <w:sz w:val="21"/>
                <w:szCs w:val="21"/>
              </w:rPr>
              <w:t>查应急预案评估报告，通过以上评估，公司应急预案的制定基本合理。</w:t>
            </w:r>
          </w:p>
          <w:p>
            <w:pPr>
              <w:pStyle w:val="20"/>
              <w:spacing w:line="280" w:lineRule="exact"/>
              <w:ind w:firstLineChars="0"/>
              <w:rPr>
                <w:sz w:val="21"/>
                <w:szCs w:val="21"/>
              </w:rPr>
            </w:pPr>
            <w:r>
              <w:rPr>
                <w:rFonts w:hint="eastAsia"/>
                <w:sz w:val="21"/>
                <w:szCs w:val="21"/>
              </w:rPr>
              <w:t>公司进行了消防灭火</w:t>
            </w:r>
            <w:r>
              <w:rPr>
                <w:rFonts w:hint="eastAsia"/>
                <w:sz w:val="21"/>
                <w:szCs w:val="21"/>
                <w:lang w:val="en-US" w:eastAsia="zh-CN"/>
              </w:rPr>
              <w:t>和中暑</w:t>
            </w:r>
            <w:r>
              <w:rPr>
                <w:rFonts w:hint="eastAsia"/>
                <w:sz w:val="21"/>
                <w:szCs w:val="21"/>
              </w:rPr>
              <w:t>演练，查应急演练记录。</w:t>
            </w:r>
          </w:p>
          <w:p>
            <w:pPr>
              <w:spacing w:line="240" w:lineRule="exact"/>
              <w:rPr>
                <w:rFonts w:ascii="Times New Roman" w:hAnsi="Times New Roman" w:eastAsia="宋体" w:cs="Times New Roman"/>
                <w:b/>
                <w:color w:val="000000" w:themeColor="text1"/>
                <w:spacing w:val="-4"/>
                <w:kern w:val="2"/>
                <w:sz w:val="20"/>
                <w:szCs w:val="20"/>
                <w:lang w:val="en-US" w:eastAsia="zh-CN" w:bidi="ar-SA"/>
              </w:rPr>
            </w:pPr>
            <w:r>
              <w:rPr>
                <w:rFonts w:hint="eastAsia" w:ascii="Calibri" w:hAnsi="Calibri"/>
                <w:szCs w:val="21"/>
              </w:rPr>
              <w:t>查消防灭火演练，演练时间20</w:t>
            </w:r>
            <w:r>
              <w:rPr>
                <w:rFonts w:ascii="Calibri" w:hAnsi="Calibri"/>
                <w:szCs w:val="21"/>
              </w:rPr>
              <w:t>2</w:t>
            </w:r>
            <w:r>
              <w:rPr>
                <w:rFonts w:hint="eastAsia" w:ascii="Calibri" w:hAnsi="Calibri"/>
                <w:szCs w:val="21"/>
                <w:lang w:val="en-US" w:eastAsia="zh-CN"/>
              </w:rPr>
              <w:t>1</w:t>
            </w:r>
            <w:r>
              <w:rPr>
                <w:rFonts w:ascii="Calibri" w:hAnsi="Calibri"/>
                <w:szCs w:val="21"/>
              </w:rPr>
              <w:t>.</w:t>
            </w:r>
            <w:r>
              <w:rPr>
                <w:rFonts w:hint="eastAsia" w:ascii="Calibri" w:hAnsi="Calibri"/>
                <w:szCs w:val="21"/>
                <w:lang w:val="en-US" w:eastAsia="zh-CN"/>
              </w:rPr>
              <w:t>5</w:t>
            </w:r>
            <w:r>
              <w:rPr>
                <w:rFonts w:ascii="Calibri" w:hAnsi="Calibri"/>
                <w:szCs w:val="21"/>
              </w:rPr>
              <w:t>.</w:t>
            </w:r>
            <w:r>
              <w:rPr>
                <w:rFonts w:hint="eastAsia" w:ascii="Calibri" w:hAnsi="Calibri"/>
                <w:szCs w:val="21"/>
                <w:lang w:val="en-US" w:eastAsia="zh-CN"/>
              </w:rPr>
              <w:t>13</w:t>
            </w:r>
            <w:r>
              <w:rPr>
                <w:rFonts w:hint="eastAsia" w:ascii="Calibri" w:hAnsi="Calibri"/>
                <w:szCs w:val="21"/>
              </w:rPr>
              <w:t>，地点办公大楼前，对演练过程进行了描述，并对预案的有效性进行了评价。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对空压机房内储气罐的压力表和安全阀实施检验。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b/>
                <w:color w:val="000000" w:themeColor="text1"/>
                <w:sz w:val="20"/>
                <w:szCs w:val="20"/>
                <w:lang w:val="en-US" w:eastAsia="zh-CN"/>
              </w:rPr>
            </w:pPr>
            <w:r>
              <w:rPr>
                <w:rFonts w:hint="eastAsia"/>
                <w:b/>
                <w:color w:val="000000" w:themeColor="text1"/>
                <w:sz w:val="20"/>
                <w:szCs w:val="20"/>
                <w:lang w:val="en-US" w:eastAsia="zh-CN"/>
              </w:rPr>
              <w:t xml:space="preserve">  </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 xml:space="preserve">   无危化品；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ind w:firstLine="420" w:firstLineChars="20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公司收集和分析适当的数据，评价公司管理体系的适宜性和有效性，充分识别可以改进的机会</w:t>
            </w:r>
          </w:p>
          <w:p>
            <w:pPr>
              <w:spacing w:line="240" w:lineRule="exact"/>
              <w:ind w:firstLine="105" w:firstLineChars="50"/>
              <w:rPr>
                <w:rFonts w:hint="default" w:ascii="Times New Roman" w:hAnsi="Times New Roman" w:eastAsia="宋体" w:cs="Times New Roman"/>
                <w:b/>
                <w:color w:val="000000" w:themeColor="text1"/>
                <w:kern w:val="2"/>
                <w:sz w:val="20"/>
                <w:szCs w:val="20"/>
                <w:lang w:val="en-US" w:eastAsia="zh-CN" w:bidi="ar-SA"/>
              </w:rPr>
            </w:pPr>
            <w:r>
              <w:rPr>
                <w:rFonts w:hint="eastAsia" w:cs="宋体" w:asciiTheme="minorEastAsia" w:hAnsiTheme="minorEastAsia" w:eastAsiaTheme="minorEastAsia"/>
                <w:color w:val="000000"/>
                <w:szCs w:val="21"/>
              </w:rPr>
              <w:t>提供了公司环境、职业健康安全管理体系运行情况报告，包括运行过程控制、供方业绩评定、体系运行绩效情况等方面的汇总分析，工作成果符合预期效果，提出继续保持建议</w:t>
            </w:r>
            <w:r>
              <w:rPr>
                <w:rFonts w:hint="eastAsia" w:cs="宋体" w:asciiTheme="minorEastAsia" w:hAnsiTheme="minorEastAsia" w:eastAsiaTheme="minorEastAsia"/>
                <w:color w:val="000000"/>
                <w:szCs w:val="21"/>
                <w:lang w:eastAsia="zh-CN"/>
              </w:rPr>
              <w:t>。</w:t>
            </w:r>
            <w:r>
              <w:rPr>
                <w:rFonts w:hint="eastAsia" w:cs="宋体" w:asciiTheme="minorEastAsia" w:hAnsiTheme="minorEastAsia" w:eastAsiaTheme="minorEastAsia"/>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80" w:lineRule="exact"/>
              <w:ind w:firstLine="420" w:firstLineChars="200"/>
              <w:rPr>
                <w:szCs w:val="21"/>
              </w:rPr>
            </w:pPr>
            <w:r>
              <w:rPr>
                <w:rFonts w:hint="eastAsia"/>
                <w:szCs w:val="21"/>
              </w:rPr>
              <w:t>编制了《内部审核程序》，由管代定期组织每年进行一次内审，间隔不超过12月份，由经过培训的内审员参加。</w:t>
            </w:r>
          </w:p>
          <w:p>
            <w:pPr>
              <w:spacing w:line="280" w:lineRule="exact"/>
              <w:ind w:firstLine="420" w:firstLineChars="200"/>
              <w:rPr>
                <w:szCs w:val="21"/>
              </w:rPr>
            </w:pPr>
            <w:r>
              <w:rPr>
                <w:rFonts w:hint="eastAsia"/>
                <w:szCs w:val="21"/>
              </w:rPr>
              <w:t>依据</w:t>
            </w:r>
            <w:r>
              <w:rPr>
                <w:rFonts w:hint="eastAsia"/>
                <w:szCs w:val="21"/>
                <w:lang w:val="en-US" w:eastAsia="zh-CN"/>
              </w:rPr>
              <w:t>GB/T</w:t>
            </w:r>
            <w:r>
              <w:rPr>
                <w:rFonts w:hint="eastAsia"/>
                <w:szCs w:val="21"/>
              </w:rPr>
              <w:t>14001</w:t>
            </w:r>
            <w:r>
              <w:rPr>
                <w:rFonts w:hint="eastAsia"/>
                <w:szCs w:val="21"/>
                <w:lang w:val="en-US" w:eastAsia="zh-CN"/>
              </w:rPr>
              <w:t>-</w:t>
            </w:r>
            <w:r>
              <w:rPr>
                <w:rFonts w:hint="eastAsia"/>
                <w:szCs w:val="21"/>
              </w:rPr>
              <w:t>201</w:t>
            </w:r>
            <w:r>
              <w:rPr>
                <w:rFonts w:hint="eastAsia"/>
                <w:szCs w:val="21"/>
                <w:lang w:val="en-US" w:eastAsia="zh-CN"/>
              </w:rPr>
              <w:t>6</w:t>
            </w:r>
            <w:r>
              <w:rPr>
                <w:rFonts w:hint="eastAsia"/>
                <w:szCs w:val="21"/>
              </w:rPr>
              <w:t>、</w:t>
            </w:r>
            <w:r>
              <w:rPr>
                <w:rFonts w:hint="eastAsia"/>
                <w:szCs w:val="21"/>
                <w:lang w:val="en-US" w:eastAsia="zh-CN"/>
              </w:rPr>
              <w:t>GB/T</w:t>
            </w:r>
            <w:r>
              <w:rPr>
                <w:szCs w:val="21"/>
              </w:rPr>
              <w:t>45</w:t>
            </w:r>
            <w:r>
              <w:rPr>
                <w:rFonts w:hint="eastAsia"/>
                <w:szCs w:val="21"/>
              </w:rPr>
              <w:t>001</w:t>
            </w:r>
            <w:r>
              <w:rPr>
                <w:rFonts w:hint="eastAsia"/>
                <w:szCs w:val="21"/>
                <w:lang w:val="en-US" w:eastAsia="zh-CN"/>
              </w:rPr>
              <w:t>-</w:t>
            </w:r>
            <w:r>
              <w:rPr>
                <w:rFonts w:hint="eastAsia"/>
                <w:szCs w:val="21"/>
              </w:rPr>
              <w:t>20</w:t>
            </w:r>
            <w:r>
              <w:rPr>
                <w:rFonts w:hint="eastAsia"/>
                <w:szCs w:val="21"/>
                <w:lang w:val="en-US" w:eastAsia="zh-CN"/>
              </w:rPr>
              <w:t>20</w:t>
            </w:r>
            <w:r>
              <w:rPr>
                <w:rFonts w:hint="eastAsia"/>
                <w:szCs w:val="21"/>
              </w:rPr>
              <w:t>标准、体系文件、相关法律法规等.</w:t>
            </w:r>
          </w:p>
          <w:p>
            <w:pPr>
              <w:spacing w:line="280" w:lineRule="exact"/>
              <w:ind w:firstLine="420" w:firstLineChars="200"/>
              <w:rPr>
                <w:szCs w:val="21"/>
              </w:rPr>
            </w:pPr>
            <w:r>
              <w:rPr>
                <w:rFonts w:hint="eastAsia"/>
                <w:szCs w:val="21"/>
              </w:rPr>
              <w:t>提供</w:t>
            </w:r>
            <w:r>
              <w:rPr>
                <w:szCs w:val="21"/>
              </w:rPr>
              <w:t>202</w:t>
            </w:r>
            <w:r>
              <w:rPr>
                <w:rFonts w:hint="eastAsia"/>
                <w:szCs w:val="21"/>
                <w:lang w:val="en-US" w:eastAsia="zh-CN"/>
              </w:rPr>
              <w:t>1</w:t>
            </w:r>
            <w:r>
              <w:rPr>
                <w:rFonts w:hint="eastAsia"/>
                <w:szCs w:val="21"/>
              </w:rPr>
              <w:t>年度《内部审核计划》</w:t>
            </w:r>
            <w:r>
              <w:rPr>
                <w:rFonts w:hint="eastAsia" w:ascii="宋体" w:hAnsi="宋体" w:cs="宋体"/>
                <w:szCs w:val="21"/>
                <w:lang w:val="en-US" w:eastAsia="zh-CN"/>
              </w:rPr>
              <w:t>，</w:t>
            </w:r>
            <w:r>
              <w:rPr>
                <w:rFonts w:hint="eastAsia"/>
                <w:szCs w:val="21"/>
              </w:rPr>
              <w:t>内审安排1次。明确审核目的、范围、依据、日期，组长：</w:t>
            </w:r>
            <w:r>
              <w:rPr>
                <w:rFonts w:hint="eastAsia"/>
                <w:szCs w:val="21"/>
                <w:lang w:val="en-US" w:eastAsia="zh-CN"/>
              </w:rPr>
              <w:t>卢文锦</w:t>
            </w:r>
            <w:r>
              <w:rPr>
                <w:rFonts w:hint="eastAsia"/>
                <w:szCs w:val="21"/>
              </w:rPr>
              <w:t>，组员：</w:t>
            </w:r>
            <w:r>
              <w:rPr>
                <w:rFonts w:hint="eastAsia"/>
                <w:szCs w:val="21"/>
                <w:lang w:val="en-US" w:eastAsia="zh-CN"/>
              </w:rPr>
              <w:t>龙和祥</w:t>
            </w:r>
            <w:r>
              <w:rPr>
                <w:rFonts w:hint="eastAsia"/>
                <w:szCs w:val="21"/>
              </w:rPr>
              <w:t>，有培训记录和总经理的任命书；编制：</w:t>
            </w:r>
            <w:r>
              <w:rPr>
                <w:rFonts w:hint="eastAsia"/>
                <w:szCs w:val="21"/>
                <w:lang w:val="en-US" w:eastAsia="zh-CN"/>
              </w:rPr>
              <w:t>龙和祥</w:t>
            </w:r>
            <w:r>
              <w:rPr>
                <w:rFonts w:hint="eastAsia"/>
                <w:szCs w:val="21"/>
              </w:rPr>
              <w:t>，审批：</w:t>
            </w:r>
            <w:r>
              <w:rPr>
                <w:rFonts w:hint="eastAsia"/>
                <w:szCs w:val="21"/>
                <w:lang w:val="en-US" w:eastAsia="zh-CN"/>
              </w:rPr>
              <w:t>李锦红</w:t>
            </w:r>
            <w:r>
              <w:rPr>
                <w:rFonts w:hint="eastAsia"/>
                <w:szCs w:val="21"/>
              </w:rPr>
              <w:t>，日期：</w:t>
            </w:r>
            <w:r>
              <w:rPr>
                <w:szCs w:val="21"/>
              </w:rPr>
              <w:t>202</w:t>
            </w:r>
            <w:r>
              <w:rPr>
                <w:rFonts w:hint="eastAsia"/>
                <w:szCs w:val="21"/>
                <w:lang w:val="en-US" w:eastAsia="zh-CN"/>
              </w:rPr>
              <w:t>1</w:t>
            </w:r>
            <w:r>
              <w:rPr>
                <w:rFonts w:hint="eastAsia"/>
                <w:szCs w:val="21"/>
              </w:rPr>
              <w:t>.</w:t>
            </w:r>
            <w:r>
              <w:rPr>
                <w:rFonts w:hint="eastAsia"/>
                <w:szCs w:val="21"/>
                <w:lang w:val="en-US" w:eastAsia="zh-CN"/>
              </w:rPr>
              <w:t>3</w:t>
            </w:r>
            <w:r>
              <w:rPr>
                <w:szCs w:val="21"/>
              </w:rPr>
              <w:t>.</w:t>
            </w:r>
            <w:r>
              <w:rPr>
                <w:rFonts w:hint="eastAsia"/>
                <w:szCs w:val="21"/>
                <w:lang w:val="en-US" w:eastAsia="zh-CN"/>
              </w:rPr>
              <w:t>2</w:t>
            </w:r>
            <w:r>
              <w:rPr>
                <w:szCs w:val="21"/>
              </w:rPr>
              <w:t>1</w:t>
            </w:r>
            <w:r>
              <w:rPr>
                <w:rFonts w:hint="eastAsia"/>
                <w:szCs w:val="21"/>
              </w:rPr>
              <w:t>。</w:t>
            </w:r>
          </w:p>
          <w:p>
            <w:pPr>
              <w:spacing w:line="280" w:lineRule="exact"/>
              <w:ind w:firstLine="420" w:firstLineChars="200"/>
              <w:rPr>
                <w:szCs w:val="21"/>
              </w:rPr>
            </w:pPr>
            <w:r>
              <w:rPr>
                <w:rFonts w:hint="eastAsia"/>
                <w:szCs w:val="21"/>
              </w:rPr>
              <w:t>计划内容涉及各部门，条款覆盖整个体系，时间安排合理。同时考虑到互查的公正性。实际审核：</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w:t>
            </w:r>
            <w:r>
              <w:rPr>
                <w:rFonts w:hint="default" w:ascii="Microsoft Tai Le" w:hAnsi="Microsoft Tai Le" w:cs="Microsoft Tai Le"/>
                <w:szCs w:val="21"/>
                <w:lang w:val="en-US" w:eastAsia="zh-CN"/>
              </w:rPr>
              <w:t>~</w:t>
            </w:r>
            <w:r>
              <w:rPr>
                <w:rFonts w:hint="eastAsia" w:ascii="宋体" w:hAnsi="宋体" w:cs="宋体"/>
                <w:szCs w:val="21"/>
                <w:lang w:val="en-US" w:eastAsia="zh-CN"/>
              </w:rPr>
              <w:t>3</w:t>
            </w:r>
            <w:r>
              <w:rPr>
                <w:rFonts w:hint="eastAsia"/>
                <w:szCs w:val="21"/>
              </w:rPr>
              <w:t>，有签到表。</w:t>
            </w:r>
          </w:p>
          <w:p>
            <w:pPr>
              <w:spacing w:line="280" w:lineRule="exact"/>
              <w:ind w:firstLine="420" w:firstLineChars="200"/>
              <w:rPr>
                <w:szCs w:val="21"/>
              </w:rPr>
            </w:pPr>
            <w:r>
              <w:rPr>
                <w:rFonts w:hint="eastAsia"/>
                <w:szCs w:val="21"/>
              </w:rPr>
              <w:t>查《内审检查表》，有管理层、</w:t>
            </w:r>
            <w:r>
              <w:rPr>
                <w:rFonts w:hint="eastAsia"/>
                <w:szCs w:val="21"/>
                <w:lang w:val="en-US" w:eastAsia="zh-CN"/>
              </w:rPr>
              <w:t>办公室</w:t>
            </w:r>
            <w:r>
              <w:rPr>
                <w:rFonts w:hint="eastAsia"/>
                <w:szCs w:val="21"/>
              </w:rPr>
              <w:t>、技术部、销</w:t>
            </w:r>
            <w:r>
              <w:rPr>
                <w:rFonts w:hint="eastAsia"/>
                <w:szCs w:val="21"/>
                <w:lang w:val="en-US" w:eastAsia="zh-CN"/>
              </w:rPr>
              <w:t>售</w:t>
            </w:r>
            <w:r>
              <w:rPr>
                <w:rFonts w:hint="eastAsia"/>
                <w:szCs w:val="21"/>
              </w:rPr>
              <w:t>部、生产部、质</w:t>
            </w:r>
            <w:r>
              <w:rPr>
                <w:rFonts w:hint="eastAsia"/>
                <w:szCs w:val="21"/>
                <w:lang w:val="en-US" w:eastAsia="zh-CN"/>
              </w:rPr>
              <w:t>检</w:t>
            </w:r>
            <w:r>
              <w:rPr>
                <w:rFonts w:hint="eastAsia"/>
                <w:szCs w:val="21"/>
              </w:rPr>
              <w:t>部</w:t>
            </w:r>
            <w:r>
              <w:rPr>
                <w:rFonts w:hint="eastAsia"/>
                <w:szCs w:val="21"/>
                <w:lang w:eastAsia="zh-CN"/>
              </w:rPr>
              <w:t>、</w:t>
            </w:r>
            <w:r>
              <w:rPr>
                <w:rFonts w:hint="eastAsia"/>
                <w:szCs w:val="21"/>
                <w:lang w:val="en-US" w:eastAsia="zh-CN"/>
              </w:rPr>
              <w:t>采购部、财务部</w:t>
            </w:r>
            <w:r>
              <w:rPr>
                <w:rFonts w:hint="eastAsia"/>
                <w:szCs w:val="21"/>
              </w:rPr>
              <w:t>等部门的审核记录，条款与策划一致，记录真实、完整。包括</w:t>
            </w:r>
            <w:r>
              <w:rPr>
                <w:rFonts w:hint="eastAsia"/>
                <w:szCs w:val="21"/>
                <w:lang w:eastAsia="zh-CN"/>
              </w:rPr>
              <w:t>EO</w:t>
            </w:r>
            <w:r>
              <w:rPr>
                <w:rFonts w:hint="eastAsia"/>
                <w:szCs w:val="21"/>
              </w:rPr>
              <w:t>体系所有条款，没有遗漏。</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szCs w:val="21"/>
              </w:rPr>
              <w:t>查《不合格报告》本次发现不符合</w:t>
            </w:r>
            <w:r>
              <w:rPr>
                <w:rFonts w:hint="eastAsia"/>
                <w:szCs w:val="21"/>
                <w:lang w:val="en-US" w:eastAsia="zh-CN"/>
              </w:rPr>
              <w:t>1</w:t>
            </w:r>
            <w:r>
              <w:rPr>
                <w:rFonts w:hint="eastAsia"/>
                <w:szCs w:val="21"/>
              </w:rPr>
              <w:t>个，均为一般不符合，分别为</w:t>
            </w:r>
            <w:r>
              <w:rPr>
                <w:rFonts w:hint="eastAsia"/>
                <w:szCs w:val="21"/>
                <w:lang w:val="en-US" w:eastAsia="zh-CN"/>
              </w:rPr>
              <w:t>7.5.</w:t>
            </w:r>
            <w:r>
              <w:rPr>
                <w:szCs w:val="21"/>
              </w:rPr>
              <w:t>1</w:t>
            </w:r>
            <w:r>
              <w:rPr>
                <w:rFonts w:hint="eastAsia"/>
                <w:szCs w:val="21"/>
              </w:rPr>
              <w:t>。对于不符合项所采取的纠正等措施，内审员进行了验证。上述内容记录完整。提供《内部审核报告》，结论： 公司建立的环境/职业健康安全管理体系基本符合</w:t>
            </w:r>
            <w:r>
              <w:rPr>
                <w:rFonts w:hint="eastAsia"/>
                <w:szCs w:val="21"/>
                <w:lang w:val="en-US" w:eastAsia="zh-CN"/>
              </w:rPr>
              <w:t>GB/T</w:t>
            </w:r>
            <w:r>
              <w:rPr>
                <w:rFonts w:hint="eastAsia"/>
                <w:szCs w:val="21"/>
              </w:rPr>
              <w:t>14001</w:t>
            </w:r>
            <w:r>
              <w:rPr>
                <w:rFonts w:hint="eastAsia"/>
                <w:szCs w:val="21"/>
                <w:lang w:val="en-US" w:eastAsia="zh-CN"/>
              </w:rPr>
              <w:t>-</w:t>
            </w:r>
            <w:r>
              <w:rPr>
                <w:rFonts w:hint="eastAsia"/>
                <w:szCs w:val="21"/>
              </w:rPr>
              <w:t>201</w:t>
            </w:r>
            <w:r>
              <w:rPr>
                <w:rFonts w:hint="eastAsia"/>
                <w:szCs w:val="21"/>
                <w:lang w:val="en-US" w:eastAsia="zh-CN"/>
              </w:rPr>
              <w:t>6</w:t>
            </w:r>
            <w:r>
              <w:rPr>
                <w:rFonts w:hint="eastAsia"/>
                <w:szCs w:val="21"/>
              </w:rPr>
              <w:t>、</w:t>
            </w:r>
            <w:r>
              <w:rPr>
                <w:rFonts w:hint="eastAsia"/>
                <w:szCs w:val="21"/>
                <w:lang w:val="en-US" w:eastAsia="zh-CN"/>
              </w:rPr>
              <w:t>GB/T</w:t>
            </w:r>
            <w:r>
              <w:rPr>
                <w:szCs w:val="21"/>
              </w:rPr>
              <w:t>45</w:t>
            </w:r>
            <w:r>
              <w:rPr>
                <w:rFonts w:hint="eastAsia"/>
                <w:szCs w:val="21"/>
              </w:rPr>
              <w:t>001</w:t>
            </w:r>
            <w:r>
              <w:rPr>
                <w:rFonts w:hint="eastAsia"/>
                <w:szCs w:val="21"/>
                <w:lang w:val="en-US" w:eastAsia="zh-CN"/>
              </w:rPr>
              <w:t>-</w:t>
            </w:r>
            <w:r>
              <w:rPr>
                <w:rFonts w:hint="eastAsia"/>
                <w:szCs w:val="21"/>
              </w:rPr>
              <w:t>20</w:t>
            </w:r>
            <w:r>
              <w:rPr>
                <w:rFonts w:hint="eastAsia"/>
                <w:szCs w:val="21"/>
                <w:lang w:val="en-US" w:eastAsia="zh-CN"/>
              </w:rPr>
              <w:t>20</w:t>
            </w:r>
            <w:r>
              <w:rPr>
                <w:rFonts w:hint="eastAsia"/>
                <w:szCs w:val="21"/>
              </w:rPr>
              <w:t>标准要求。管理体系的运行是适宜的、充分的、有效的。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80" w:lineRule="exact"/>
              <w:rPr>
                <w:rFonts w:hint="eastAsia"/>
              </w:rPr>
            </w:pPr>
            <w:r>
              <w:rPr>
                <w:rFonts w:hint="eastAsia"/>
              </w:rPr>
              <w:t>编制了管理评审控制程序，由总经理负责，提供了最近一次管理评审：</w:t>
            </w:r>
          </w:p>
          <w:p>
            <w:pPr>
              <w:spacing w:line="280" w:lineRule="exact"/>
              <w:rPr>
                <w:rFonts w:hint="eastAsia"/>
              </w:rPr>
            </w:pPr>
            <w:r>
              <w:rPr>
                <w:rFonts w:hint="eastAsia"/>
              </w:rPr>
              <w:t>1.管理评审计划</w:t>
            </w:r>
          </w:p>
          <w:p>
            <w:pPr>
              <w:spacing w:line="280" w:lineRule="exact"/>
              <w:rPr>
                <w:rFonts w:hint="eastAsia"/>
              </w:rPr>
            </w:pPr>
            <w:r>
              <w:rPr>
                <w:rFonts w:hint="eastAsia"/>
              </w:rPr>
              <w:t>评审时间：</w:t>
            </w:r>
            <w:r>
              <w:rPr>
                <w:rFonts w:hint="eastAsia"/>
                <w:lang w:val="en-US" w:eastAsia="zh-CN"/>
              </w:rPr>
              <w:t>4月24日，</w:t>
            </w:r>
            <w:r>
              <w:rPr>
                <w:rFonts w:hint="eastAsia"/>
              </w:rPr>
              <w:t>评审方式：会议评审，编制：</w:t>
            </w:r>
            <w:r>
              <w:rPr>
                <w:rFonts w:hint="eastAsia"/>
                <w:lang w:val="en-US" w:eastAsia="zh-CN"/>
              </w:rPr>
              <w:t>卢文锦</w:t>
            </w:r>
            <w:r>
              <w:rPr>
                <w:rFonts w:hint="eastAsia"/>
              </w:rPr>
              <w:t xml:space="preserve">  批准：</w:t>
            </w:r>
            <w:r>
              <w:rPr>
                <w:rFonts w:hint="eastAsia"/>
                <w:lang w:val="en-US" w:eastAsia="zh-CN"/>
              </w:rPr>
              <w:t>李锦红</w:t>
            </w:r>
            <w:r>
              <w:rPr>
                <w:rFonts w:hint="eastAsia"/>
              </w:rPr>
              <w:t>。</w:t>
            </w:r>
          </w:p>
          <w:p>
            <w:pPr>
              <w:spacing w:line="280" w:lineRule="exact"/>
              <w:rPr>
                <w:rFonts w:hint="default"/>
                <w:lang w:val="en-US" w:eastAsia="zh-CN"/>
              </w:rPr>
            </w:pPr>
            <w:r>
              <w:rPr>
                <w:rFonts w:hint="eastAsia"/>
              </w:rPr>
              <w:t>参加人员包括公司总经理、管理者代表、各部门负责人</w:t>
            </w:r>
            <w:r>
              <w:rPr>
                <w:rFonts w:hint="eastAsia"/>
                <w:lang w:eastAsia="zh-CN"/>
              </w:rPr>
              <w:t>，</w:t>
            </w:r>
            <w:r>
              <w:rPr>
                <w:rFonts w:hint="eastAsia"/>
                <w:lang w:val="en-US" w:eastAsia="zh-CN"/>
              </w:rPr>
              <w:t>参加人员非签字形式。</w:t>
            </w:r>
          </w:p>
          <w:p>
            <w:pPr>
              <w:spacing w:line="280" w:lineRule="exact"/>
              <w:rPr>
                <w:rFonts w:hint="eastAsia"/>
              </w:rPr>
            </w:pPr>
            <w:r>
              <w:rPr>
                <w:rFonts w:hint="eastAsia"/>
              </w:rPr>
              <w:t>计划中明确了评审内容和资料准备要求。</w:t>
            </w:r>
          </w:p>
          <w:p>
            <w:pPr>
              <w:spacing w:line="280" w:lineRule="exact"/>
              <w:rPr>
                <w:rFonts w:hint="eastAsia"/>
              </w:rPr>
            </w:pPr>
            <w:r>
              <w:rPr>
                <w:rFonts w:hint="eastAsia"/>
              </w:rPr>
              <w:t>2.管理评审会议记录</w:t>
            </w:r>
          </w:p>
          <w:p>
            <w:pPr>
              <w:spacing w:line="280" w:lineRule="exact"/>
              <w:rPr>
                <w:rFonts w:hint="eastAsia"/>
              </w:rPr>
            </w:pPr>
            <w:r>
              <w:rPr>
                <w:rFonts w:hint="eastAsia"/>
              </w:rPr>
              <w:t>按计划的时间实施了管理评审。管理评审输入：管理方针、目标的适宜行和实现情况；管理体系的符合性；内审结果；内外部环境分析及风险应对措施的落实情况；纠正预防措施及持续改进能力；重要环境因素和不可接受风险控制及效果；合规性评价；可能影响管理体系的变更；改进建议等；</w:t>
            </w:r>
          </w:p>
          <w:p>
            <w:pPr>
              <w:spacing w:line="280" w:lineRule="exact"/>
              <w:rPr>
                <w:rFonts w:hint="eastAsia"/>
              </w:rPr>
            </w:pPr>
            <w:r>
              <w:rPr>
                <w:rFonts w:hint="eastAsia"/>
              </w:rPr>
              <w:t>3.管理评审报告</w:t>
            </w:r>
          </w:p>
          <w:p>
            <w:pPr>
              <w:spacing w:line="280" w:lineRule="exact"/>
              <w:rPr>
                <w:rFonts w:hint="eastAsia"/>
              </w:rPr>
            </w:pPr>
            <w:r>
              <w:rPr>
                <w:rFonts w:hint="eastAsia"/>
              </w:rPr>
              <w:t>管理评审</w:t>
            </w:r>
            <w:r>
              <w:rPr>
                <w:rFonts w:hint="eastAsia"/>
                <w:lang w:val="en-US" w:eastAsia="zh-CN"/>
              </w:rPr>
              <w:t>输出</w:t>
            </w:r>
            <w:r>
              <w:rPr>
                <w:rFonts w:hint="eastAsia"/>
              </w:rPr>
              <w:t>：</w:t>
            </w:r>
          </w:p>
          <w:p>
            <w:pPr>
              <w:spacing w:line="280" w:lineRule="exact"/>
              <w:rPr>
                <w:rFonts w:hint="eastAsia"/>
              </w:rPr>
            </w:pPr>
            <w:r>
              <w:rPr>
                <w:rFonts w:hint="eastAsia"/>
              </w:rPr>
              <w:t>①</w:t>
            </w:r>
            <w:r>
              <w:rPr>
                <w:rFonts w:hint="eastAsia"/>
                <w:lang w:val="en-US" w:eastAsia="zh-CN"/>
              </w:rPr>
              <w:t>进一步健全风险管理体系、提高环境、安全风险管理能力</w:t>
            </w:r>
            <w:r>
              <w:rPr>
                <w:rFonts w:hint="eastAsia"/>
              </w:rPr>
              <w:t>。</w:t>
            </w:r>
          </w:p>
          <w:p>
            <w:pPr>
              <w:spacing w:line="280" w:lineRule="exact"/>
              <w:rPr>
                <w:rFonts w:hint="eastAsia"/>
              </w:rPr>
            </w:pPr>
            <w:r>
              <w:rPr>
                <w:rFonts w:hint="eastAsia"/>
              </w:rPr>
              <w:t>②</w:t>
            </w:r>
            <w:r>
              <w:rPr>
                <w:rFonts w:hint="eastAsia"/>
                <w:lang w:val="en-US" w:eastAsia="zh-CN"/>
              </w:rPr>
              <w:t xml:space="preserve">加大环保、职业健康安全经费的投入 </w:t>
            </w:r>
            <w:r>
              <w:rPr>
                <w:rFonts w:hint="eastAsia"/>
              </w:rPr>
              <w:t>。</w:t>
            </w:r>
          </w:p>
          <w:p>
            <w:pPr>
              <w:spacing w:line="280" w:lineRule="exact"/>
              <w:rPr>
                <w:rFonts w:hint="eastAsia"/>
              </w:rPr>
            </w:pPr>
            <w:r>
              <w:rPr>
                <w:rFonts w:hint="eastAsia"/>
              </w:rPr>
              <w:t>4．内审提出</w:t>
            </w:r>
            <w:r>
              <w:rPr>
                <w:rFonts w:hint="eastAsia"/>
                <w:lang w:val="en-US" w:eastAsia="zh-CN"/>
              </w:rPr>
              <w:t>1</w:t>
            </w:r>
            <w:r>
              <w:rPr>
                <w:rFonts w:hint="eastAsia"/>
              </w:rPr>
              <w:t>个书面不合格项，责任部门已制订相应的纠正措施，并得到实施，经验证纠正措施有效。</w:t>
            </w:r>
          </w:p>
          <w:p>
            <w:pPr>
              <w:spacing w:line="280" w:lineRule="exact"/>
              <w:rPr>
                <w:rFonts w:hint="eastAsia"/>
              </w:rPr>
            </w:pPr>
            <w:r>
              <w:rPr>
                <w:rFonts w:hint="eastAsia"/>
              </w:rPr>
              <w:t>5．公司员工进一步树立质量意识、环境意识、安全意识，在各自的岗位上努力做好本职工作，确保环境指标达到法规要求，安全无事故，企业在激烈的市场竞争中显示出明显的优势。</w:t>
            </w:r>
          </w:p>
          <w:p>
            <w:pPr>
              <w:spacing w:line="280" w:lineRule="exact"/>
              <w:rPr>
                <w:rFonts w:hint="eastAsia"/>
              </w:rPr>
            </w:pPr>
            <w:r>
              <w:rPr>
                <w:rFonts w:hint="eastAsia"/>
              </w:rPr>
              <w:t>总体评价质量环境职业健康安全管理体系运行是有效的，资源提供是充分的，方针目标是适宜的。</w:t>
            </w:r>
          </w:p>
          <w:p>
            <w:pPr>
              <w:spacing w:line="280" w:lineRule="exact"/>
              <w:rPr>
                <w:rFonts w:hint="eastAsia"/>
              </w:rPr>
            </w:pPr>
            <w:r>
              <w:rPr>
                <w:rFonts w:hint="eastAsia"/>
              </w:rPr>
              <w:t>管理评审改进建议：</w:t>
            </w:r>
          </w:p>
          <w:p>
            <w:pPr>
              <w:spacing w:line="280" w:lineRule="exact"/>
              <w:rPr>
                <w:rFonts w:hint="eastAsia"/>
              </w:rPr>
            </w:pPr>
            <w:r>
              <w:rPr>
                <w:rFonts w:hint="eastAsia"/>
              </w:rPr>
              <w:t>①</w:t>
            </w:r>
            <w:r>
              <w:rPr>
                <w:rFonts w:hint="eastAsia"/>
                <w:lang w:val="en-US" w:eastAsia="zh-CN"/>
              </w:rPr>
              <w:t>进一步健全风险管理体系、提高环境、安全风险管理能力</w:t>
            </w:r>
            <w:r>
              <w:rPr>
                <w:rFonts w:hint="eastAsia"/>
              </w:rPr>
              <w:t>。</w:t>
            </w:r>
          </w:p>
          <w:p>
            <w:pPr>
              <w:spacing w:line="280" w:lineRule="exact"/>
              <w:rPr>
                <w:rFonts w:hint="eastAsia"/>
              </w:rPr>
            </w:pPr>
            <w:r>
              <w:rPr>
                <w:rFonts w:hint="eastAsia"/>
              </w:rPr>
              <w:t>②</w:t>
            </w:r>
            <w:r>
              <w:rPr>
                <w:rFonts w:hint="eastAsia"/>
                <w:lang w:val="en-US" w:eastAsia="zh-CN"/>
              </w:rPr>
              <w:t>加大环保、职业健康安全经费的投入</w:t>
            </w:r>
            <w:r>
              <w:rPr>
                <w:rFonts w:hint="eastAsia"/>
              </w:rPr>
              <w:t>。</w:t>
            </w:r>
          </w:p>
          <w:p>
            <w:pPr>
              <w:spacing w:line="280" w:lineRule="exact"/>
              <w:rPr>
                <w:rFonts w:hint="eastAsia"/>
              </w:rPr>
            </w:pPr>
            <w:r>
              <w:rPr>
                <w:rFonts w:hint="eastAsia"/>
              </w:rPr>
              <w:t>以上改进措施，目前正在实施中，后续可进一步关注。</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Times New Roman" w:hAnsi="Times New Roman" w:eastAsia="宋体" w:cs="Times New Roman"/>
                <w:spacing w:val="0"/>
                <w:kern w:val="2"/>
                <w:sz w:val="21"/>
                <w:szCs w:val="22"/>
                <w:lang w:val="en-US" w:eastAsia="zh-CN" w:bidi="ar-SA"/>
              </w:rPr>
              <w:t>管理评审结论：EO基本有效、充分和适宜。执行以上改进建议,加大EO改进力度，以确保EO整体绩效的提高。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numPr>
                <w:ilvl w:val="0"/>
                <w:numId w:val="4"/>
              </w:numPr>
              <w:spacing w:line="300" w:lineRule="exact"/>
              <w:ind w:left="0" w:leftChars="0" w:firstLine="0" w:firstLineChars="0"/>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300" w:lineRule="exact"/>
              <w:ind w:leftChars="0"/>
              <w:rPr>
                <w:rFonts w:hint="eastAsia" w:ascii="Times New Roman" w:hAnsi="Times New Roman" w:eastAsia="宋体" w:cs="Times New Roman"/>
                <w:b/>
                <w:color w:val="000000" w:themeColor="text1"/>
                <w:sz w:val="20"/>
                <w:szCs w:val="20"/>
                <w:lang w:val="en-US" w:eastAsia="zh-CN"/>
              </w:rPr>
            </w:pPr>
            <w:r>
              <w:rPr>
                <w:rFonts w:hint="eastAsia" w:ascii="Times New Roman" w:hAnsi="Times New Roman" w:eastAsia="宋体" w:cs="Times New Roman"/>
                <w:b/>
                <w:color w:val="000000" w:themeColor="text1"/>
                <w:sz w:val="20"/>
                <w:szCs w:val="20"/>
                <w:lang w:val="en-US" w:eastAsia="zh-CN"/>
              </w:rPr>
              <w:t xml:space="preserve"> </w:t>
            </w:r>
          </w:p>
          <w:p>
            <w:pPr>
              <w:numPr>
                <w:ilvl w:val="0"/>
                <w:numId w:val="0"/>
              </w:numPr>
              <w:spacing w:line="300" w:lineRule="exact"/>
              <w:ind w:leftChars="0"/>
              <w:rPr>
                <w:rFonts w:hint="default" w:ascii="Times New Roman" w:hAnsi="Times New Roman" w:eastAsia="宋体" w:cs="Times New Roman"/>
                <w:b/>
                <w:color w:val="000000" w:themeColor="text1"/>
                <w:sz w:val="20"/>
                <w:szCs w:val="20"/>
                <w:lang w:val="en-US" w:eastAsia="zh-CN"/>
              </w:rPr>
            </w:pPr>
            <w:r>
              <w:rPr>
                <w:rFonts w:hint="eastAsia" w:ascii="Times New Roman" w:hAnsi="Times New Roman" w:eastAsia="宋体" w:cs="Times New Roman"/>
                <w:b/>
                <w:color w:val="000000" w:themeColor="text1"/>
                <w:sz w:val="20"/>
                <w:szCs w:val="20"/>
                <w:lang w:val="en-US" w:eastAsia="zh-CN"/>
              </w:rPr>
              <w:t xml:space="preserve"> 提供生活污水和噪声排放监测报告；达标排放。</w:t>
            </w:r>
          </w:p>
          <w:p>
            <w:pPr>
              <w:numPr>
                <w:ilvl w:val="0"/>
                <w:numId w:val="0"/>
              </w:numPr>
              <w:spacing w:line="300" w:lineRule="exact"/>
              <w:ind w:leftChars="0"/>
              <w:rPr>
                <w:rFonts w:hint="default" w:ascii="Times New Roman" w:hAnsi="Times New Roman" w:eastAsia="宋体" w:cs="Times New Roman"/>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numPr>
                <w:ilvl w:val="0"/>
                <w:numId w:val="4"/>
              </w:numPr>
              <w:spacing w:line="300" w:lineRule="exact"/>
              <w:ind w:left="0" w:leftChars="0" w:firstLine="0" w:firstLineChars="0"/>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rPr>
              <w:t xml:space="preserve"> EMS国家/地方环保部门监测结果、新改扩建项目符合环评报告、三同时验收报告要求情况及措施</w:t>
            </w:r>
          </w:p>
          <w:p>
            <w:pPr>
              <w:numPr>
                <w:ilvl w:val="0"/>
                <w:numId w:val="0"/>
              </w:numPr>
              <w:spacing w:line="300" w:lineRule="exact"/>
              <w:ind w:leftChars="0"/>
              <w:rPr>
                <w:rFonts w:hint="eastAsia" w:ascii="Times New Roman" w:hAnsi="Times New Roman" w:eastAsia="宋体" w:cs="Times New Roman"/>
                <w:b/>
                <w:color w:val="000000" w:themeColor="text1"/>
                <w:sz w:val="20"/>
                <w:szCs w:val="20"/>
                <w:lang w:val="en-US" w:eastAsia="zh-CN"/>
              </w:rPr>
            </w:pPr>
            <w:r>
              <w:rPr>
                <w:rFonts w:hint="eastAsia" w:ascii="Times New Roman" w:hAnsi="Times New Roman" w:eastAsia="宋体" w:cs="Times New Roman"/>
                <w:b/>
                <w:color w:val="000000" w:themeColor="text1"/>
                <w:sz w:val="20"/>
                <w:szCs w:val="20"/>
                <w:lang w:val="en-US" w:eastAsia="zh-CN"/>
              </w:rPr>
              <w:t xml:space="preserve"> </w:t>
            </w:r>
          </w:p>
          <w:p>
            <w:pPr>
              <w:numPr>
                <w:ilvl w:val="0"/>
                <w:numId w:val="0"/>
              </w:numPr>
              <w:spacing w:line="300" w:lineRule="exact"/>
              <w:ind w:leftChars="0"/>
              <w:rPr>
                <w:rFonts w:hint="default" w:ascii="Times New Roman" w:hAnsi="Times New Roman" w:eastAsia="宋体" w:cs="Times New Roman"/>
                <w:b/>
                <w:color w:val="000000" w:themeColor="text1"/>
                <w:sz w:val="20"/>
                <w:szCs w:val="20"/>
                <w:lang w:val="en-US" w:eastAsia="zh-CN"/>
              </w:rPr>
            </w:pPr>
            <w:r>
              <w:rPr>
                <w:rFonts w:hint="eastAsia" w:ascii="Times New Roman" w:hAnsi="Times New Roman" w:eastAsia="宋体" w:cs="Times New Roman"/>
                <w:b/>
                <w:color w:val="000000" w:themeColor="text1"/>
                <w:sz w:val="20"/>
                <w:szCs w:val="20"/>
                <w:lang w:val="en-US" w:eastAsia="zh-CN"/>
              </w:rPr>
              <w:t>公司的的业务过程为PSB板冲压、注塑（封塑）、检验、包装过程；晶圆贴片（SMT）工序委外加工，生产活动不在2021版《建设项目环境影响评价分类管理名录》内。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numPr>
                <w:ilvl w:val="0"/>
                <w:numId w:val="4"/>
              </w:numPr>
              <w:spacing w:line="300" w:lineRule="exact"/>
              <w:ind w:left="0" w:leftChars="0" w:firstLine="0" w:firstLineChars="0"/>
              <w:rPr>
                <w:rFonts w:hint="eastAsia"/>
                <w:b/>
                <w:color w:val="000000" w:themeColor="text1"/>
                <w:sz w:val="20"/>
                <w:szCs w:val="20"/>
              </w:rPr>
            </w:pPr>
            <w:r>
              <w:rPr>
                <w:rFonts w:hint="eastAsia"/>
                <w:b/>
                <w:color w:val="000000" w:themeColor="text1"/>
                <w:sz w:val="20"/>
                <w:szCs w:val="20"/>
              </w:rPr>
              <w:t>OHSMS是否按规定对职业健康安全项目进行定期测量，结果是否满足相关要求：</w:t>
            </w:r>
          </w:p>
          <w:p>
            <w:pPr>
              <w:numPr>
                <w:ilvl w:val="0"/>
                <w:numId w:val="0"/>
              </w:numPr>
              <w:spacing w:line="240" w:lineRule="exact"/>
              <w:ind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提供噪声和车间内粉尘的监测报告，在限值范围内。</w:t>
            </w:r>
          </w:p>
          <w:p>
            <w:pPr>
              <w:spacing w:line="300" w:lineRule="exact"/>
              <w:rPr>
                <w:b/>
                <w:color w:val="000000" w:themeColor="text1"/>
                <w:sz w:val="20"/>
                <w:szCs w:val="20"/>
              </w:rPr>
            </w:pP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企业自体系建立以来，通过内审的改进、管理评审；</w:t>
            </w:r>
            <w:r>
              <w:rPr>
                <w:rFonts w:hint="eastAsia" w:cs="宋体" w:asciiTheme="minorEastAsia" w:hAnsiTheme="minorEastAsia" w:eastAsiaTheme="minorEastAsia"/>
                <w:szCs w:val="21"/>
                <w:lang w:val="en-US" w:eastAsia="zh-CN"/>
              </w:rPr>
              <w:t>内审发现不符合项已整改；管理评审改进意见持续进行。</w:t>
            </w:r>
          </w:p>
          <w:p>
            <w:pPr>
              <w:spacing w:line="240" w:lineRule="exact"/>
              <w:ind w:firstLine="210" w:firstLineChars="100"/>
              <w:rPr>
                <w:rFonts w:ascii="Times New Roman" w:hAnsi="Times New Roman"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pacing w:val="-20"/>
                <w:sz w:val="20"/>
                <w:szCs w:val="20"/>
                <w:lang w:val="en-US" w:eastAsia="zh-CN"/>
              </w:rPr>
              <w:t>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2</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default" w:eastAsia="宋体"/>
          <w:sz w:val="22"/>
          <w:szCs w:val="22"/>
          <w:lang w:val="en-US" w:eastAsia="zh-CN"/>
        </w:rPr>
        <w:drawing>
          <wp:anchor distT="0" distB="0" distL="114300" distR="114300" simplePos="0" relativeHeight="251663360" behindDoc="1" locked="0" layoutInCell="1" allowOverlap="1">
            <wp:simplePos x="0" y="0"/>
            <wp:positionH relativeFrom="column">
              <wp:posOffset>1583690</wp:posOffset>
            </wp:positionH>
            <wp:positionV relativeFrom="paragraph">
              <wp:posOffset>281305</wp:posOffset>
            </wp:positionV>
            <wp:extent cx="770890" cy="557530"/>
            <wp:effectExtent l="0" t="0" r="0" b="5715"/>
            <wp:wrapNone/>
            <wp:docPr id="4" name="图片 4"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林兵签名"/>
                    <pic:cNvPicPr>
                      <a:picLocks noChangeAspect="1"/>
                    </pic:cNvPicPr>
                  </pic:nvPicPr>
                  <pic:blipFill>
                    <a:blip r:embed="rId6"/>
                    <a:stretch>
                      <a:fillRect/>
                    </a:stretch>
                  </pic:blipFill>
                  <pic:spPr>
                    <a:xfrm>
                      <a:off x="0" y="0"/>
                      <a:ext cx="770890" cy="55753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default" w:eastAsia="宋体"/>
          <w:sz w:val="22"/>
          <w:szCs w:val="22"/>
          <w:lang w:val="en-US" w:eastAsia="zh-CN"/>
        </w:rPr>
        <w:drawing>
          <wp:anchor distT="0" distB="0" distL="114300" distR="114300" simplePos="0" relativeHeight="251664384" behindDoc="1" locked="0" layoutInCell="1" allowOverlap="1">
            <wp:simplePos x="0" y="0"/>
            <wp:positionH relativeFrom="column">
              <wp:posOffset>3098165</wp:posOffset>
            </wp:positionH>
            <wp:positionV relativeFrom="paragraph">
              <wp:posOffset>162560</wp:posOffset>
            </wp:positionV>
            <wp:extent cx="802640" cy="482600"/>
            <wp:effectExtent l="0" t="0" r="0" b="5080"/>
            <wp:wrapNone/>
            <wp:docPr id="7" name="图片 7" descr="王丽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王丽娟"/>
                    <pic:cNvPicPr>
                      <a:picLocks noChangeAspect="1"/>
                    </pic:cNvPicPr>
                  </pic:nvPicPr>
                  <pic:blipFill>
                    <a:blip r:embed="rId7"/>
                    <a:stretch>
                      <a:fillRect/>
                    </a:stretch>
                  </pic:blipFill>
                  <pic:spPr>
                    <a:xfrm>
                      <a:off x="0" y="0"/>
                      <a:ext cx="802640" cy="482600"/>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65408" behindDoc="1" locked="0" layoutInCell="1" allowOverlap="1">
            <wp:simplePos x="0" y="0"/>
            <wp:positionH relativeFrom="column">
              <wp:posOffset>1463040</wp:posOffset>
            </wp:positionH>
            <wp:positionV relativeFrom="paragraph">
              <wp:posOffset>94615</wp:posOffset>
            </wp:positionV>
            <wp:extent cx="822960" cy="407035"/>
            <wp:effectExtent l="0" t="0" r="0" b="0"/>
            <wp:wrapNone/>
            <wp:docPr id="6" name="图片 6"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王央央"/>
                    <pic:cNvPicPr>
                      <a:picLocks noChangeAspect="1"/>
                    </pic:cNvPicPr>
                  </pic:nvPicPr>
                  <pic:blipFill>
                    <a:blip r:embed="rId8"/>
                    <a:stretch>
                      <a:fillRect/>
                    </a:stretch>
                  </pic:blipFill>
                  <pic:spPr>
                    <a:xfrm>
                      <a:off x="0" y="0"/>
                      <a:ext cx="822960" cy="407035"/>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66432" behindDoc="1" locked="0" layoutInCell="1" allowOverlap="1">
            <wp:simplePos x="0" y="0"/>
            <wp:positionH relativeFrom="column">
              <wp:posOffset>2265680</wp:posOffset>
            </wp:positionH>
            <wp:positionV relativeFrom="paragraph">
              <wp:posOffset>170815</wp:posOffset>
            </wp:positionV>
            <wp:extent cx="706120" cy="337185"/>
            <wp:effectExtent l="0" t="0" r="10160" b="13335"/>
            <wp:wrapNone/>
            <wp:docPr id="5" name="图片 5" descr="方小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方小娥"/>
                    <pic:cNvPicPr>
                      <a:picLocks noChangeAspect="1"/>
                    </pic:cNvPicPr>
                  </pic:nvPicPr>
                  <pic:blipFill>
                    <a:blip r:embed="rId9">
                      <a:lum contrast="18000"/>
                    </a:blip>
                    <a:stretch>
                      <a:fillRect/>
                    </a:stretch>
                  </pic:blipFill>
                  <pic:spPr>
                    <a:xfrm>
                      <a:off x="0" y="0"/>
                      <a:ext cx="706120" cy="33718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19</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2</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2</w:t>
      </w:r>
      <w:bookmarkStart w:id="22" w:name="_GoBack"/>
      <w:bookmarkEnd w:id="22"/>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default" w:eastAsia="宋体"/>
          <w:sz w:val="22"/>
          <w:szCs w:val="22"/>
          <w:lang w:val="en-US" w:eastAsia="zh-CN"/>
        </w:rPr>
        <w:drawing>
          <wp:anchor distT="0" distB="0" distL="114300" distR="114300" simplePos="0" relativeHeight="251662336" behindDoc="1" locked="0" layoutInCell="1" allowOverlap="1">
            <wp:simplePos x="0" y="0"/>
            <wp:positionH relativeFrom="column">
              <wp:posOffset>626745</wp:posOffset>
            </wp:positionH>
            <wp:positionV relativeFrom="paragraph">
              <wp:posOffset>85090</wp:posOffset>
            </wp:positionV>
            <wp:extent cx="770890" cy="557530"/>
            <wp:effectExtent l="0" t="0" r="0" b="571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6"/>
                    <a:stretch>
                      <a:fillRect/>
                    </a:stretch>
                  </pic:blipFill>
                  <pic:spPr>
                    <a:xfrm>
                      <a:off x="0" y="0"/>
                      <a:ext cx="770890" cy="55753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 xml:space="preserve"> 30</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83D01"/>
    <w:multiLevelType w:val="singleLevel"/>
    <w:tmpl w:val="A1E83D01"/>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79D8996"/>
    <w:multiLevelType w:val="singleLevel"/>
    <w:tmpl w:val="679D8996"/>
    <w:lvl w:ilvl="0" w:tentative="0">
      <w:start w:val="5"/>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585189"/>
    <w:rsid w:val="231C45D5"/>
    <w:rsid w:val="3B2C39A9"/>
    <w:rsid w:val="4483764D"/>
    <w:rsid w:val="4A4E3E40"/>
    <w:rsid w:val="4C086014"/>
    <w:rsid w:val="52236D8D"/>
    <w:rsid w:val="7F740A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spacing w:line="400" w:lineRule="atLeast"/>
      <w:jc w:val="center"/>
      <w:outlineLvl w:val="1"/>
    </w:pPr>
    <w:rPr>
      <w:spacing w:val="8"/>
      <w:sz w:val="36"/>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left="420" w:firstLine="744"/>
    </w:pPr>
    <w:rPr>
      <w:rFonts w:ascii="宋体" w:hAnsi="宋体"/>
      <w:szCs w:val="24"/>
    </w:rPr>
  </w:style>
  <w:style w:type="paragraph" w:styleId="4">
    <w:name w:val="Plain Text"/>
    <w:basedOn w:val="1"/>
    <w:qFormat/>
    <w:uiPriority w:val="99"/>
    <w:rPr>
      <w:rFonts w:ascii="宋体" w:hAnsi="Courier New"/>
      <w:szCs w:val="21"/>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unhideWhenUsed/>
    <w:qFormat/>
    <w:uiPriority w:val="99"/>
    <w:pPr>
      <w:tabs>
        <w:tab w:val="left" w:pos="540"/>
      </w:tabs>
      <w:ind w:firstLine="420" w:firstLineChars="200"/>
    </w:p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_Style 2"/>
    <w:basedOn w:val="1"/>
    <w:qFormat/>
    <w:uiPriority w:val="34"/>
    <w:pPr>
      <w:ind w:firstLine="420" w:firstLineChars="200"/>
    </w:pPr>
    <w:rPr>
      <w:rFonts w:ascii="Calibri"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2021-06-30T12:13:20Z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3B1E21C1B67548F9AA74C11C4BFE03ED</vt:lpwstr>
  </property>
</Properties>
</file>